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B75B" w14:textId="74834922" w:rsidR="002F6FC4" w:rsidRDefault="002F6FC4" w:rsidP="002F6FC4">
      <w:pPr>
        <w:pStyle w:val="Heading2"/>
      </w:pPr>
      <w:r>
        <w:t>Relocation Guidelines</w:t>
      </w:r>
    </w:p>
    <w:p w14:paraId="6B99A26C" w14:textId="77777777" w:rsidR="002F6FC4" w:rsidRPr="002F6FC4" w:rsidRDefault="002F6FC4" w:rsidP="002F6FC4"/>
    <w:p w14:paraId="2C1402B0" w14:textId="77777777" w:rsidR="002F6FC4" w:rsidRPr="002F6FC4" w:rsidRDefault="002F6FC4" w:rsidP="002F6FC4">
      <w:pPr>
        <w:pStyle w:val="ListParagraph"/>
        <w:numPr>
          <w:ilvl w:val="0"/>
          <w:numId w:val="2"/>
        </w:numPr>
        <w:rPr>
          <w:b/>
          <w:bCs/>
          <w:color w:val="00A9CE" w:themeColor="accent1"/>
        </w:rPr>
      </w:pPr>
      <w:r w:rsidRPr="002F6FC4">
        <w:rPr>
          <w:b/>
          <w:bCs/>
          <w:color w:val="00A9CE" w:themeColor="accent1"/>
        </w:rPr>
        <w:t>PURPOSE</w:t>
      </w:r>
    </w:p>
    <w:p w14:paraId="16B7F19B" w14:textId="77777777" w:rsidR="002F6FC4" w:rsidRPr="00EA7610" w:rsidRDefault="002F6FC4" w:rsidP="002F6FC4">
      <w:pPr>
        <w:rPr>
          <w:bCs/>
        </w:rPr>
      </w:pPr>
      <w:r w:rsidRPr="00EA7610">
        <w:rPr>
          <w:bCs/>
        </w:rPr>
        <w:t>The University aims to appoint the highest calibre of employees. In striving to do so the recruitment process often needs to be conducted more broadly than the local region to encompass Australia wide and international candidates. Relocation is an integral part of the recruitment process and as such it is important that it is a continuation of a positive experience with the University for the successful appointee. This document provides an overview of the types of assistance the University offers in the process of relocation.</w:t>
      </w:r>
    </w:p>
    <w:p w14:paraId="29BC8EB8" w14:textId="77777777" w:rsidR="002F6FC4" w:rsidRPr="002F6FC4" w:rsidRDefault="002F6FC4" w:rsidP="002F6FC4">
      <w:pPr>
        <w:pStyle w:val="ListParagraph"/>
        <w:numPr>
          <w:ilvl w:val="0"/>
          <w:numId w:val="2"/>
        </w:numPr>
        <w:rPr>
          <w:b/>
          <w:bCs/>
          <w:color w:val="00A9CE" w:themeColor="accent1"/>
        </w:rPr>
      </w:pPr>
      <w:r w:rsidRPr="002F6FC4">
        <w:rPr>
          <w:b/>
          <w:bCs/>
          <w:color w:val="00A9CE" w:themeColor="accent1"/>
        </w:rPr>
        <w:t>ELEGIBIITY</w:t>
      </w:r>
    </w:p>
    <w:p w14:paraId="41BBE04A" w14:textId="77777777" w:rsidR="002F6FC4" w:rsidRPr="00EA7610" w:rsidRDefault="002F6FC4" w:rsidP="002F6FC4">
      <w:pPr>
        <w:rPr>
          <w:bCs/>
        </w:rPr>
      </w:pPr>
      <w:r w:rsidRPr="00EA7610">
        <w:rPr>
          <w:bCs/>
        </w:rPr>
        <w:t>Relocation assistance may be offered to a new staff member at the discretion of the Dean or Director of the Faculty or Business Unit making the appointment. The offer of relocation assistance is discretionary and dependent upon the availability of funds and may be offered to appointees whose contract is for a minimum term of three years.</w:t>
      </w:r>
    </w:p>
    <w:p w14:paraId="5F98609B" w14:textId="77777777" w:rsidR="002F6FC4" w:rsidRPr="00EA7610" w:rsidRDefault="002F6FC4" w:rsidP="002F6FC4">
      <w:pPr>
        <w:rPr>
          <w:bCs/>
        </w:rPr>
      </w:pPr>
      <w:r w:rsidRPr="00EA7610">
        <w:rPr>
          <w:bCs/>
        </w:rPr>
        <w:t xml:space="preserve">The relocation assistance amount offered, and any conditions relating to it, such as flights and temporary accommodation, will be clearly outlined in the </w:t>
      </w:r>
      <w:r w:rsidRPr="00EA7610">
        <w:rPr>
          <w:bCs/>
          <w:i/>
        </w:rPr>
        <w:t xml:space="preserve">Letter of Offer </w:t>
      </w:r>
      <w:r w:rsidRPr="00EA7610">
        <w:rPr>
          <w:bCs/>
        </w:rPr>
        <w:t xml:space="preserve">sent to the successful candidate. </w:t>
      </w:r>
    </w:p>
    <w:p w14:paraId="73BEFF75" w14:textId="77777777" w:rsidR="002F6FC4" w:rsidRPr="00EA7610" w:rsidRDefault="002F6FC4" w:rsidP="002F6FC4">
      <w:pPr>
        <w:rPr>
          <w:bCs/>
        </w:rPr>
      </w:pPr>
      <w:r w:rsidRPr="00EA7610">
        <w:rPr>
          <w:bCs/>
        </w:rPr>
        <w:t xml:space="preserve">All costs associated with relocation will be borne by the Faculty or Business Area.  </w:t>
      </w:r>
    </w:p>
    <w:p w14:paraId="015B33F4" w14:textId="77777777" w:rsidR="002F6FC4" w:rsidRPr="002F6FC4" w:rsidRDefault="002F6FC4" w:rsidP="002F6FC4">
      <w:pPr>
        <w:pStyle w:val="ListParagraph"/>
        <w:numPr>
          <w:ilvl w:val="0"/>
          <w:numId w:val="2"/>
        </w:numPr>
        <w:rPr>
          <w:b/>
          <w:bCs/>
          <w:color w:val="00A9CE" w:themeColor="accent1"/>
        </w:rPr>
      </w:pPr>
      <w:r w:rsidRPr="002F6FC4">
        <w:rPr>
          <w:b/>
          <w:bCs/>
          <w:color w:val="00A9CE" w:themeColor="accent1"/>
        </w:rPr>
        <w:t xml:space="preserve">POLICY PRINCIPLES </w:t>
      </w:r>
    </w:p>
    <w:p w14:paraId="22E4C247" w14:textId="77777777" w:rsidR="002F6FC4" w:rsidRPr="00EA7610" w:rsidRDefault="002F6FC4" w:rsidP="002F6FC4">
      <w:pPr>
        <w:rPr>
          <w:bCs/>
        </w:rPr>
      </w:pPr>
      <w:r w:rsidRPr="00EA7610">
        <w:rPr>
          <w:bCs/>
        </w:rPr>
        <w:t>Due to varying locations and diverse personal circumstances each appointee will have different relocation needs. Relocation assistance can be offered in the form of financial reimbursement, relocation resources provided or booked on the new staff member’s behalf, or a combination of both. The funds allocated are to contribute towards the costs incurred in relocating to Canberra to work at the University; they are not intended to cover all the costs incurred.</w:t>
      </w:r>
    </w:p>
    <w:p w14:paraId="3CFDDED5" w14:textId="34FE9FF1" w:rsidR="002F6FC4" w:rsidRPr="00EA7610" w:rsidRDefault="002F6FC4" w:rsidP="002F6FC4">
      <w:pPr>
        <w:rPr>
          <w:bCs/>
        </w:rPr>
      </w:pPr>
      <w:r w:rsidRPr="00EA7610">
        <w:rPr>
          <w:bCs/>
        </w:rPr>
        <w:t>Typically, relocation support will be provided in the following three categories:</w:t>
      </w:r>
    </w:p>
    <w:p w14:paraId="725A69D4" w14:textId="77777777" w:rsidR="002F6FC4" w:rsidRPr="002F6FC4" w:rsidRDefault="002F6FC4" w:rsidP="002F6FC4">
      <w:pPr>
        <w:pStyle w:val="ListParagraph"/>
        <w:numPr>
          <w:ilvl w:val="1"/>
          <w:numId w:val="2"/>
        </w:numPr>
        <w:rPr>
          <w:b/>
          <w:i/>
          <w:color w:val="00A9CE" w:themeColor="accent1"/>
        </w:rPr>
      </w:pPr>
      <w:r w:rsidRPr="002F6FC4">
        <w:rPr>
          <w:b/>
          <w:i/>
          <w:color w:val="00A9CE" w:themeColor="accent1"/>
        </w:rPr>
        <w:t>Accommodation</w:t>
      </w:r>
    </w:p>
    <w:p w14:paraId="119AE773" w14:textId="77777777" w:rsidR="002F6FC4" w:rsidRPr="00EA7610" w:rsidRDefault="002F6FC4" w:rsidP="002F6FC4">
      <w:pPr>
        <w:rPr>
          <w:bCs/>
        </w:rPr>
      </w:pPr>
      <w:r w:rsidRPr="00EA7610">
        <w:rPr>
          <w:bCs/>
        </w:rPr>
        <w:t xml:space="preserve">The University may provide temporary accommodation for up to a maximum of two weeks. This accommodation is generally arranged through ‘Accommodate Canberra’ and is typically a serviced apartment located centrally within Canberra’s CBD. </w:t>
      </w:r>
    </w:p>
    <w:p w14:paraId="7EADDCF2" w14:textId="77777777" w:rsidR="002F6FC4" w:rsidRPr="002F6FC4" w:rsidRDefault="002F6FC4" w:rsidP="002F6FC4">
      <w:pPr>
        <w:pStyle w:val="ListParagraph"/>
        <w:numPr>
          <w:ilvl w:val="1"/>
          <w:numId w:val="2"/>
        </w:numPr>
        <w:rPr>
          <w:b/>
          <w:i/>
          <w:color w:val="00A9CE" w:themeColor="accent1"/>
        </w:rPr>
      </w:pPr>
      <w:r w:rsidRPr="002F6FC4">
        <w:rPr>
          <w:b/>
          <w:i/>
          <w:color w:val="00A9CE" w:themeColor="accent1"/>
        </w:rPr>
        <w:t>Visa</w:t>
      </w:r>
    </w:p>
    <w:p w14:paraId="6F023CA0" w14:textId="77777777" w:rsidR="002F6FC4" w:rsidRPr="00EA7610" w:rsidRDefault="002F6FC4" w:rsidP="002F6FC4">
      <w:pPr>
        <w:rPr>
          <w:bCs/>
        </w:rPr>
      </w:pPr>
      <w:r w:rsidRPr="00EA7610">
        <w:rPr>
          <w:bCs/>
        </w:rPr>
        <w:t>The University may make the relevant nomination application to the Department of Immigration and Citizenship and pay the employer’s nomination application fee.</w:t>
      </w:r>
    </w:p>
    <w:p w14:paraId="43DCCB1F" w14:textId="4C26B461" w:rsidR="002F6FC4" w:rsidRDefault="002F6FC4" w:rsidP="002F6FC4">
      <w:pPr>
        <w:rPr>
          <w:bCs/>
        </w:rPr>
      </w:pPr>
      <w:r w:rsidRPr="00EA7610">
        <w:rPr>
          <w:bCs/>
        </w:rPr>
        <w:t>All other costs relating to the visa application (such as medical examinations, police checks, employee visa application fees etc) will be the responsibility of the new staff member unless otherwise agreed with the Dean or Director of the relevant Faculty or Business Unit. (It is important to make the new staff member aware that these fees are tax deductible).</w:t>
      </w:r>
    </w:p>
    <w:p w14:paraId="03E2BFBD" w14:textId="2CE2689D" w:rsidR="002F5ABC" w:rsidRDefault="002F5ABC" w:rsidP="002F6FC4">
      <w:pPr>
        <w:rPr>
          <w:bCs/>
        </w:rPr>
      </w:pPr>
    </w:p>
    <w:p w14:paraId="04D4164C" w14:textId="57680B1E" w:rsidR="002F5ABC" w:rsidRDefault="002F5ABC" w:rsidP="002F6FC4">
      <w:pPr>
        <w:rPr>
          <w:bCs/>
        </w:rPr>
      </w:pPr>
    </w:p>
    <w:p w14:paraId="4D7F6FDD" w14:textId="77777777" w:rsidR="002F5ABC" w:rsidRPr="00EA7610" w:rsidRDefault="002F5ABC" w:rsidP="002F6FC4">
      <w:pPr>
        <w:rPr>
          <w:bCs/>
        </w:rPr>
      </w:pPr>
    </w:p>
    <w:p w14:paraId="08694DFD" w14:textId="77777777" w:rsidR="002F6FC4" w:rsidRPr="002F6FC4" w:rsidRDefault="002F6FC4" w:rsidP="002F6FC4">
      <w:pPr>
        <w:pStyle w:val="ListParagraph"/>
        <w:numPr>
          <w:ilvl w:val="1"/>
          <w:numId w:val="2"/>
        </w:numPr>
        <w:rPr>
          <w:b/>
          <w:i/>
          <w:color w:val="00A9CE" w:themeColor="accent1"/>
        </w:rPr>
      </w:pPr>
      <w:r w:rsidRPr="002F6FC4">
        <w:rPr>
          <w:b/>
          <w:i/>
          <w:color w:val="00A9CE" w:themeColor="accent1"/>
        </w:rPr>
        <w:lastRenderedPageBreak/>
        <w:t>Financial Support</w:t>
      </w:r>
    </w:p>
    <w:p w14:paraId="4AE1A1B3" w14:textId="77777777" w:rsidR="002F6FC4" w:rsidRPr="00EA7610" w:rsidRDefault="002F6FC4" w:rsidP="002F6FC4">
      <w:pPr>
        <w:rPr>
          <w:bCs/>
        </w:rPr>
      </w:pPr>
      <w:r w:rsidRPr="00EA7610">
        <w:rPr>
          <w:bCs/>
        </w:rPr>
        <w:t>Funding may be granted to contribute towards the cost of:</w:t>
      </w:r>
    </w:p>
    <w:p w14:paraId="4D05321C" w14:textId="77777777" w:rsidR="002F6FC4" w:rsidRPr="00EA7610" w:rsidRDefault="002F6FC4" w:rsidP="002F6FC4">
      <w:pPr>
        <w:numPr>
          <w:ilvl w:val="2"/>
          <w:numId w:val="1"/>
        </w:numPr>
        <w:rPr>
          <w:bCs/>
        </w:rPr>
      </w:pPr>
      <w:r w:rsidRPr="00EA7610">
        <w:rPr>
          <w:bCs/>
        </w:rPr>
        <w:t>The removal of personal, professional and/or household effects, including insurance costs;</w:t>
      </w:r>
    </w:p>
    <w:p w14:paraId="5B602D18" w14:textId="4C0233CF" w:rsidR="002F6FC4" w:rsidRPr="00EA7610" w:rsidRDefault="002F6FC4" w:rsidP="002F6FC4">
      <w:pPr>
        <w:numPr>
          <w:ilvl w:val="2"/>
          <w:numId w:val="1"/>
        </w:numPr>
        <w:rPr>
          <w:bCs/>
        </w:rPr>
      </w:pPr>
      <w:r w:rsidRPr="00EA7610">
        <w:rPr>
          <w:bCs/>
        </w:rPr>
        <w:t>The temporary storage of personal, professional and/or household effects; normally not exceeding one month, including insurance costs;</w:t>
      </w:r>
    </w:p>
    <w:p w14:paraId="13AED228" w14:textId="26FF448C" w:rsidR="002F6FC4" w:rsidRPr="00EA7610" w:rsidRDefault="002F6FC4" w:rsidP="002F6FC4">
      <w:pPr>
        <w:numPr>
          <w:ilvl w:val="2"/>
          <w:numId w:val="1"/>
        </w:numPr>
        <w:rPr>
          <w:bCs/>
        </w:rPr>
      </w:pPr>
      <w:r w:rsidRPr="00EA7610">
        <w:rPr>
          <w:bCs/>
        </w:rPr>
        <w:t xml:space="preserve">One-way economy class airfare(s) for the new staff member and their dependent(s) via the most direct route from the place of residence to Canberra or; </w:t>
      </w:r>
    </w:p>
    <w:p w14:paraId="34C0F33E" w14:textId="77777777" w:rsidR="002F6FC4" w:rsidRPr="00EA7610" w:rsidRDefault="002F6FC4" w:rsidP="002F6FC4">
      <w:pPr>
        <w:numPr>
          <w:ilvl w:val="2"/>
          <w:numId w:val="1"/>
        </w:numPr>
        <w:rPr>
          <w:bCs/>
        </w:rPr>
      </w:pPr>
      <w:r w:rsidRPr="00EA7610">
        <w:rPr>
          <w:bCs/>
        </w:rPr>
        <w:t>Motor vehicle expenses such as petrol and tolls and any accommodation, meals, and other incidental travel costs incurred during the one-way road journey to Canberra;</w:t>
      </w:r>
    </w:p>
    <w:p w14:paraId="69405987" w14:textId="77777777" w:rsidR="002F6FC4" w:rsidRPr="00EA7610" w:rsidRDefault="002F6FC4" w:rsidP="002F6FC4">
      <w:pPr>
        <w:numPr>
          <w:ilvl w:val="2"/>
          <w:numId w:val="1"/>
        </w:numPr>
        <w:rPr>
          <w:bCs/>
        </w:rPr>
      </w:pPr>
      <w:r w:rsidRPr="00EA7610">
        <w:rPr>
          <w:bCs/>
        </w:rPr>
        <w:t>Taxi hire and transfers from the airport to the temporary or new place of residence;</w:t>
      </w:r>
    </w:p>
    <w:p w14:paraId="64B77F3C" w14:textId="77777777" w:rsidR="002F6FC4" w:rsidRPr="00EA7610" w:rsidRDefault="002F6FC4" w:rsidP="002F6FC4">
      <w:pPr>
        <w:numPr>
          <w:ilvl w:val="2"/>
          <w:numId w:val="1"/>
        </w:numPr>
        <w:rPr>
          <w:bCs/>
        </w:rPr>
      </w:pPr>
      <w:r w:rsidRPr="00EA7610">
        <w:rPr>
          <w:bCs/>
        </w:rPr>
        <w:t>The assistance of a relocation company such as ‘</w:t>
      </w:r>
      <w:proofErr w:type="spellStart"/>
      <w:r w:rsidRPr="00EA7610">
        <w:rPr>
          <w:bCs/>
        </w:rPr>
        <w:t>Auslocate</w:t>
      </w:r>
      <w:proofErr w:type="spellEnd"/>
      <w:r w:rsidRPr="00EA7610">
        <w:rPr>
          <w:bCs/>
        </w:rPr>
        <w:t>’; and</w:t>
      </w:r>
    </w:p>
    <w:p w14:paraId="6E990FEA" w14:textId="77777777" w:rsidR="002F6FC4" w:rsidRPr="00EA7610" w:rsidRDefault="002F6FC4" w:rsidP="002F6FC4">
      <w:pPr>
        <w:numPr>
          <w:ilvl w:val="2"/>
          <w:numId w:val="1"/>
        </w:numPr>
        <w:rPr>
          <w:bCs/>
        </w:rPr>
      </w:pPr>
      <w:r w:rsidRPr="00EA7610">
        <w:rPr>
          <w:bCs/>
        </w:rPr>
        <w:t>Temporary accommodation in addition to the initial two weeks provided by the University.</w:t>
      </w:r>
    </w:p>
    <w:p w14:paraId="01046C2A" w14:textId="0C92A9E9" w:rsidR="002F6FC4" w:rsidRPr="00EA7610" w:rsidRDefault="002F6FC4" w:rsidP="002F6FC4">
      <w:pPr>
        <w:rPr>
          <w:bCs/>
        </w:rPr>
      </w:pPr>
      <w:r w:rsidRPr="00EA7610">
        <w:rPr>
          <w:bCs/>
        </w:rPr>
        <w:t>The table below provides estimates for this financial support. The figures are to be used as a guide when making an offer of employment to a successful candidate. In a highly competitive market, the Dean or Director may use discretion and go beyond these figures to secure an appointment. However, it is worth noting that these figures are commensurate with what other Australian universities are currently offering for relocation.</w:t>
      </w:r>
    </w:p>
    <w:p w14:paraId="21B626F4" w14:textId="77777777" w:rsidR="002F6FC4" w:rsidRPr="00EA7610" w:rsidRDefault="002F6FC4" w:rsidP="002F6FC4"/>
    <w:tbl>
      <w:tblPr>
        <w:tblStyle w:val="LightList-Accent1"/>
        <w:tblW w:w="0" w:type="auto"/>
        <w:jc w:val="center"/>
        <w:tblLook w:val="04A0" w:firstRow="1" w:lastRow="0" w:firstColumn="1" w:lastColumn="0" w:noHBand="0" w:noVBand="1"/>
      </w:tblPr>
      <w:tblGrid>
        <w:gridCol w:w="3109"/>
        <w:gridCol w:w="2219"/>
        <w:gridCol w:w="2489"/>
      </w:tblGrid>
      <w:tr w:rsidR="002F6FC4" w:rsidRPr="00EA7610" w14:paraId="3099C7EE" w14:textId="77777777" w:rsidTr="00E7718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9" w:type="dxa"/>
            <w:vMerge w:val="restart"/>
          </w:tcPr>
          <w:p w14:paraId="6401321C" w14:textId="77777777" w:rsidR="002F6FC4" w:rsidRPr="00EA7610" w:rsidRDefault="002F6FC4" w:rsidP="00163F5D">
            <w:pPr>
              <w:spacing w:after="200"/>
              <w:rPr>
                <w:color w:val="FFFFFF" w:themeColor="background1"/>
              </w:rPr>
            </w:pPr>
            <w:r w:rsidRPr="00EA7610">
              <w:rPr>
                <w:color w:val="FFFFFF" w:themeColor="background1"/>
              </w:rPr>
              <w:br w:type="page"/>
            </w:r>
            <w:r w:rsidRPr="00EA7610">
              <w:rPr>
                <w:color w:val="FFFFFF" w:themeColor="background1"/>
              </w:rPr>
              <w:br w:type="page"/>
              <w:t>Location</w:t>
            </w:r>
          </w:p>
        </w:tc>
        <w:tc>
          <w:tcPr>
            <w:tcW w:w="4708" w:type="dxa"/>
            <w:gridSpan w:val="2"/>
          </w:tcPr>
          <w:p w14:paraId="1CEC4EDA" w14:textId="77777777" w:rsidR="002F6FC4" w:rsidRPr="00EA7610" w:rsidRDefault="002F6FC4" w:rsidP="00163F5D">
            <w:pPr>
              <w:spacing w:after="200"/>
              <w:cnfStyle w:val="100000000000" w:firstRow="1" w:lastRow="0" w:firstColumn="0" w:lastColumn="0" w:oddVBand="0" w:evenVBand="0" w:oddHBand="0" w:evenHBand="0" w:firstRowFirstColumn="0" w:firstRowLastColumn="0" w:lastRowFirstColumn="0" w:lastRowLastColumn="0"/>
              <w:rPr>
                <w:color w:val="FFFFFF" w:themeColor="background1"/>
              </w:rPr>
            </w:pPr>
            <w:r w:rsidRPr="00EA7610">
              <w:rPr>
                <w:color w:val="FFFFFF" w:themeColor="background1"/>
              </w:rPr>
              <w:t>Average budget allocation for removal</w:t>
            </w:r>
          </w:p>
        </w:tc>
      </w:tr>
      <w:tr w:rsidR="002F6FC4" w:rsidRPr="00EA7610" w14:paraId="4AD254BD" w14:textId="77777777" w:rsidTr="00E77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9" w:type="dxa"/>
            <w:vMerge/>
          </w:tcPr>
          <w:p w14:paraId="1697BAEC" w14:textId="77777777" w:rsidR="002F6FC4" w:rsidRPr="00EA7610" w:rsidRDefault="002F6FC4" w:rsidP="00163F5D">
            <w:pPr>
              <w:spacing w:after="200"/>
            </w:pPr>
          </w:p>
        </w:tc>
        <w:tc>
          <w:tcPr>
            <w:tcW w:w="2219" w:type="dxa"/>
          </w:tcPr>
          <w:p w14:paraId="55EAB1D2"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rPr>
                <w:b/>
              </w:rPr>
            </w:pPr>
            <w:r w:rsidRPr="00EA7610">
              <w:rPr>
                <w:b/>
              </w:rPr>
              <w:t>Single</w:t>
            </w:r>
          </w:p>
          <w:p w14:paraId="27B4A713"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rPr>
                <w:b/>
              </w:rPr>
            </w:pPr>
            <w:r w:rsidRPr="00EA7610">
              <w:rPr>
                <w:b/>
              </w:rPr>
              <w:t>AUD$</w:t>
            </w:r>
          </w:p>
        </w:tc>
        <w:tc>
          <w:tcPr>
            <w:tcW w:w="2489" w:type="dxa"/>
          </w:tcPr>
          <w:p w14:paraId="587A38F3"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rPr>
                <w:b/>
              </w:rPr>
            </w:pPr>
            <w:r w:rsidRPr="00EA7610">
              <w:rPr>
                <w:b/>
              </w:rPr>
              <w:t>With dependents</w:t>
            </w:r>
          </w:p>
          <w:p w14:paraId="63E7B331"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rPr>
                <w:b/>
              </w:rPr>
            </w:pPr>
            <w:r w:rsidRPr="00EA7610">
              <w:rPr>
                <w:b/>
              </w:rPr>
              <w:t>AUD$</w:t>
            </w:r>
          </w:p>
        </w:tc>
      </w:tr>
      <w:tr w:rsidR="002F6FC4" w:rsidRPr="00EA7610" w14:paraId="46DA1AF7" w14:textId="77777777" w:rsidTr="00E77185">
        <w:trPr>
          <w:jc w:val="center"/>
        </w:trPr>
        <w:tc>
          <w:tcPr>
            <w:cnfStyle w:val="001000000000" w:firstRow="0" w:lastRow="0" w:firstColumn="1" w:lastColumn="0" w:oddVBand="0" w:evenVBand="0" w:oddHBand="0" w:evenHBand="0" w:firstRowFirstColumn="0" w:firstRowLastColumn="0" w:lastRowFirstColumn="0" w:lastRowLastColumn="0"/>
            <w:tcW w:w="3109" w:type="dxa"/>
          </w:tcPr>
          <w:p w14:paraId="0209ACC2" w14:textId="77777777" w:rsidR="002F6FC4" w:rsidRPr="00EA7610" w:rsidRDefault="002F6FC4" w:rsidP="00163F5D">
            <w:pPr>
              <w:spacing w:after="200"/>
            </w:pPr>
            <w:r w:rsidRPr="00EA7610">
              <w:t>United Kingdom</w:t>
            </w:r>
          </w:p>
        </w:tc>
        <w:tc>
          <w:tcPr>
            <w:tcW w:w="2219" w:type="dxa"/>
          </w:tcPr>
          <w:p w14:paraId="483536A3"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$10 000</w:t>
            </w:r>
          </w:p>
        </w:tc>
        <w:tc>
          <w:tcPr>
            <w:tcW w:w="2489" w:type="dxa"/>
          </w:tcPr>
          <w:p w14:paraId="3C7DF2D8"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$15 000</w:t>
            </w:r>
          </w:p>
        </w:tc>
      </w:tr>
      <w:tr w:rsidR="002F6FC4" w:rsidRPr="00EA7610" w14:paraId="0C05A830" w14:textId="77777777" w:rsidTr="00E77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9" w:type="dxa"/>
          </w:tcPr>
          <w:p w14:paraId="38494F0C" w14:textId="77777777" w:rsidR="002F6FC4" w:rsidRPr="00EA7610" w:rsidRDefault="002F6FC4" w:rsidP="00163F5D">
            <w:pPr>
              <w:spacing w:after="200"/>
            </w:pPr>
            <w:r w:rsidRPr="00EA7610">
              <w:t>United States &amp; Canada</w:t>
            </w:r>
          </w:p>
        </w:tc>
        <w:tc>
          <w:tcPr>
            <w:tcW w:w="2219" w:type="dxa"/>
          </w:tcPr>
          <w:p w14:paraId="6F6A469D"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$10 000</w:t>
            </w:r>
          </w:p>
        </w:tc>
        <w:tc>
          <w:tcPr>
            <w:tcW w:w="2489" w:type="dxa"/>
          </w:tcPr>
          <w:p w14:paraId="5B23EB45"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$15 000</w:t>
            </w:r>
          </w:p>
        </w:tc>
      </w:tr>
      <w:tr w:rsidR="002F6FC4" w:rsidRPr="00EA7610" w14:paraId="4255B6A9" w14:textId="77777777" w:rsidTr="00E77185">
        <w:trPr>
          <w:jc w:val="center"/>
        </w:trPr>
        <w:tc>
          <w:tcPr>
            <w:cnfStyle w:val="001000000000" w:firstRow="0" w:lastRow="0" w:firstColumn="1" w:lastColumn="0" w:oddVBand="0" w:evenVBand="0" w:oddHBand="0" w:evenHBand="0" w:firstRowFirstColumn="0" w:firstRowLastColumn="0" w:lastRowFirstColumn="0" w:lastRowLastColumn="0"/>
            <w:tcW w:w="3109" w:type="dxa"/>
          </w:tcPr>
          <w:p w14:paraId="5011DF0D" w14:textId="77777777" w:rsidR="002F6FC4" w:rsidRPr="00EA7610" w:rsidRDefault="002F6FC4" w:rsidP="00163F5D">
            <w:pPr>
              <w:spacing w:after="200"/>
            </w:pPr>
            <w:r w:rsidRPr="00EA7610">
              <w:t>Europe</w:t>
            </w:r>
          </w:p>
        </w:tc>
        <w:tc>
          <w:tcPr>
            <w:tcW w:w="2219" w:type="dxa"/>
          </w:tcPr>
          <w:p w14:paraId="58A6D69B"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$10 000</w:t>
            </w:r>
          </w:p>
        </w:tc>
        <w:tc>
          <w:tcPr>
            <w:tcW w:w="2489" w:type="dxa"/>
          </w:tcPr>
          <w:p w14:paraId="1383CCD5"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$15 000</w:t>
            </w:r>
          </w:p>
        </w:tc>
      </w:tr>
      <w:tr w:rsidR="002F6FC4" w:rsidRPr="00EA7610" w14:paraId="2433BBB3" w14:textId="77777777" w:rsidTr="00E77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9" w:type="dxa"/>
          </w:tcPr>
          <w:p w14:paraId="6D4D3C78" w14:textId="3C7133C9" w:rsidR="002F6FC4" w:rsidRPr="00EA7610" w:rsidRDefault="002F6FC4" w:rsidP="00163F5D">
            <w:pPr>
              <w:spacing w:after="200"/>
            </w:pPr>
            <w:r w:rsidRPr="00EA7610">
              <w:t>Asia (incl. India, China, Singapore</w:t>
            </w:r>
            <w:r w:rsidR="00E77185">
              <w:t>)</w:t>
            </w:r>
            <w:r w:rsidRPr="00EA7610">
              <w:t xml:space="preserve"> </w:t>
            </w:r>
          </w:p>
        </w:tc>
        <w:tc>
          <w:tcPr>
            <w:tcW w:w="2219" w:type="dxa"/>
          </w:tcPr>
          <w:p w14:paraId="4715C7F2"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$8 000</w:t>
            </w:r>
          </w:p>
        </w:tc>
        <w:tc>
          <w:tcPr>
            <w:tcW w:w="2489" w:type="dxa"/>
          </w:tcPr>
          <w:p w14:paraId="29A46E99"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$12 000</w:t>
            </w:r>
          </w:p>
        </w:tc>
      </w:tr>
      <w:tr w:rsidR="002F6FC4" w:rsidRPr="00EA7610" w14:paraId="6ADACE32" w14:textId="77777777" w:rsidTr="00E77185">
        <w:trPr>
          <w:jc w:val="center"/>
        </w:trPr>
        <w:tc>
          <w:tcPr>
            <w:cnfStyle w:val="001000000000" w:firstRow="0" w:lastRow="0" w:firstColumn="1" w:lastColumn="0" w:oddVBand="0" w:evenVBand="0" w:oddHBand="0" w:evenHBand="0" w:firstRowFirstColumn="0" w:firstRowLastColumn="0" w:lastRowFirstColumn="0" w:lastRowLastColumn="0"/>
            <w:tcW w:w="3109" w:type="dxa"/>
          </w:tcPr>
          <w:p w14:paraId="6FB48CE1" w14:textId="77777777" w:rsidR="002F6FC4" w:rsidRPr="00EA7610" w:rsidRDefault="002F6FC4" w:rsidP="00163F5D">
            <w:pPr>
              <w:spacing w:after="200"/>
            </w:pPr>
            <w:r w:rsidRPr="00EA7610">
              <w:t>New Zealand</w:t>
            </w:r>
          </w:p>
        </w:tc>
        <w:tc>
          <w:tcPr>
            <w:tcW w:w="2219" w:type="dxa"/>
          </w:tcPr>
          <w:p w14:paraId="7C8D7F2F"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$8 000</w:t>
            </w:r>
          </w:p>
        </w:tc>
        <w:tc>
          <w:tcPr>
            <w:tcW w:w="2489" w:type="dxa"/>
          </w:tcPr>
          <w:p w14:paraId="5B551A32"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$12 000</w:t>
            </w:r>
          </w:p>
        </w:tc>
      </w:tr>
      <w:tr w:rsidR="002F6FC4" w:rsidRPr="00EA7610" w14:paraId="0C9590F6" w14:textId="77777777" w:rsidTr="00E7718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09" w:type="dxa"/>
          </w:tcPr>
          <w:p w14:paraId="672552CA" w14:textId="158CBF2C" w:rsidR="002F6FC4" w:rsidRPr="00EA7610" w:rsidRDefault="002F5ABC" w:rsidP="00163F5D">
            <w:pPr>
              <w:spacing w:after="200"/>
            </w:pPr>
            <w:r w:rsidRPr="00EA7610">
              <w:t xml:space="preserve">NT, </w:t>
            </w:r>
            <w:r w:rsidR="00C435D6" w:rsidRPr="00EA7610">
              <w:t>SA, VIC, QLD, TAS</w:t>
            </w:r>
            <w:r w:rsidR="002F6FC4" w:rsidRPr="00EA7610">
              <w:t xml:space="preserve"> &amp; NSW</w:t>
            </w:r>
          </w:p>
        </w:tc>
        <w:tc>
          <w:tcPr>
            <w:tcW w:w="2219" w:type="dxa"/>
          </w:tcPr>
          <w:p w14:paraId="1DE60EB0"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$5 000</w:t>
            </w:r>
          </w:p>
        </w:tc>
        <w:tc>
          <w:tcPr>
            <w:tcW w:w="2489" w:type="dxa"/>
          </w:tcPr>
          <w:p w14:paraId="1DCE40B8"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Up to $7 500</w:t>
            </w:r>
          </w:p>
        </w:tc>
      </w:tr>
      <w:tr w:rsidR="002F6FC4" w:rsidRPr="00EA7610" w14:paraId="5FE96C0A" w14:textId="77777777" w:rsidTr="00E77185">
        <w:trPr>
          <w:jc w:val="center"/>
        </w:trPr>
        <w:tc>
          <w:tcPr>
            <w:cnfStyle w:val="001000000000" w:firstRow="0" w:lastRow="0" w:firstColumn="1" w:lastColumn="0" w:oddVBand="0" w:evenVBand="0" w:oddHBand="0" w:evenHBand="0" w:firstRowFirstColumn="0" w:firstRowLastColumn="0" w:lastRowFirstColumn="0" w:lastRowLastColumn="0"/>
            <w:tcW w:w="3109" w:type="dxa"/>
          </w:tcPr>
          <w:p w14:paraId="60E6F718" w14:textId="77777777" w:rsidR="002F6FC4" w:rsidRPr="00EA7610" w:rsidRDefault="002F6FC4" w:rsidP="00163F5D">
            <w:pPr>
              <w:spacing w:after="200"/>
            </w:pPr>
            <w:r w:rsidRPr="00EA7610">
              <w:t>West Australia</w:t>
            </w:r>
          </w:p>
        </w:tc>
        <w:tc>
          <w:tcPr>
            <w:tcW w:w="2219" w:type="dxa"/>
          </w:tcPr>
          <w:p w14:paraId="17A249BC"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$7 500</w:t>
            </w:r>
          </w:p>
        </w:tc>
        <w:tc>
          <w:tcPr>
            <w:tcW w:w="2489" w:type="dxa"/>
          </w:tcPr>
          <w:p w14:paraId="47F367FF"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Up to $9 000</w:t>
            </w:r>
          </w:p>
        </w:tc>
      </w:tr>
    </w:tbl>
    <w:p w14:paraId="18E2A3A3" w14:textId="2CF355B1" w:rsidR="002F6FC4" w:rsidRDefault="002F6FC4" w:rsidP="002F6FC4"/>
    <w:p w14:paraId="0E2B2A11" w14:textId="77777777" w:rsidR="002F5ABC" w:rsidRPr="00EA7610" w:rsidRDefault="002F5ABC" w:rsidP="002F6FC4"/>
    <w:p w14:paraId="49AC5C30" w14:textId="77777777" w:rsidR="002F6FC4" w:rsidRPr="002F6FC4" w:rsidRDefault="002F6FC4" w:rsidP="002F6FC4">
      <w:pPr>
        <w:pStyle w:val="ListParagraph"/>
        <w:numPr>
          <w:ilvl w:val="1"/>
          <w:numId w:val="2"/>
        </w:numPr>
        <w:rPr>
          <w:b/>
          <w:i/>
          <w:color w:val="00A9CE" w:themeColor="accent1"/>
        </w:rPr>
      </w:pPr>
      <w:r w:rsidRPr="002F6FC4">
        <w:rPr>
          <w:b/>
          <w:i/>
          <w:color w:val="00A9CE" w:themeColor="accent1"/>
        </w:rPr>
        <w:lastRenderedPageBreak/>
        <w:t>Reimbursement</w:t>
      </w:r>
    </w:p>
    <w:p w14:paraId="74596B36" w14:textId="7717346E" w:rsidR="002F6FC4" w:rsidRPr="00EA7610" w:rsidRDefault="002F6FC4" w:rsidP="002F6FC4">
      <w:pPr>
        <w:rPr>
          <w:bCs/>
        </w:rPr>
      </w:pPr>
      <w:r w:rsidRPr="00EA7610">
        <w:rPr>
          <w:bCs/>
        </w:rPr>
        <w:t>Relocation costs not paid directly to a provider (e.</w:t>
      </w:r>
      <w:r>
        <w:rPr>
          <w:bCs/>
        </w:rPr>
        <w:t>g.</w:t>
      </w:r>
      <w:r w:rsidRPr="00EA7610">
        <w:rPr>
          <w:bCs/>
        </w:rPr>
        <w:t xml:space="preserve"> Removalist Company) will be reimbursed once the successful candidate has commenced their employment with the University. Reimbursement will only be provided on the production of original receipts for expenses genuinely incurred as part of the relocation process. The amount reimbursed is not to exceed the amount stated in the Letter of Offer. Receipts for reimbursement should be provided to the Business Manager within the Faculty or Business Unit no later than six months from commencement at the University. </w:t>
      </w:r>
    </w:p>
    <w:p w14:paraId="2572E54A" w14:textId="77777777" w:rsidR="002F6FC4" w:rsidRPr="00EA7610" w:rsidRDefault="002F6FC4" w:rsidP="002F6FC4">
      <w:pPr>
        <w:rPr>
          <w:bCs/>
        </w:rPr>
      </w:pPr>
      <w:r w:rsidRPr="00EA7610">
        <w:rPr>
          <w:bCs/>
        </w:rPr>
        <w:t>The Australian Taxation Office (ATO) may regard the University’s contribution towards a staff member’s relocation expenses as taxable income.  Therefore, the staff member should keep all relevant receipts for submission to the ATO, if required.</w:t>
      </w:r>
    </w:p>
    <w:p w14:paraId="43D3064C" w14:textId="77777777" w:rsidR="002F6FC4" w:rsidRPr="00EA7610" w:rsidRDefault="002F6FC4" w:rsidP="002F6FC4">
      <w:pPr>
        <w:rPr>
          <w:bCs/>
        </w:rPr>
      </w:pPr>
      <w:r w:rsidRPr="00EA7610">
        <w:rPr>
          <w:bCs/>
        </w:rPr>
        <w:t>Please note that if the costs claimed do not reach the total amount of financial support offered, the balance will not be given as a credit to the appointee.</w:t>
      </w:r>
    </w:p>
    <w:p w14:paraId="11A57737" w14:textId="77777777" w:rsidR="002F6FC4" w:rsidRPr="00EA7610" w:rsidRDefault="002F6FC4" w:rsidP="002F6FC4">
      <w:pPr>
        <w:rPr>
          <w:bCs/>
        </w:rPr>
      </w:pPr>
    </w:p>
    <w:p w14:paraId="13DB3826" w14:textId="77777777" w:rsidR="002F6FC4" w:rsidRPr="002F6FC4" w:rsidRDefault="002F6FC4" w:rsidP="002F6FC4">
      <w:pPr>
        <w:pStyle w:val="ListParagraph"/>
        <w:numPr>
          <w:ilvl w:val="1"/>
          <w:numId w:val="2"/>
        </w:numPr>
        <w:rPr>
          <w:b/>
          <w:i/>
          <w:color w:val="00A9CE" w:themeColor="accent1"/>
        </w:rPr>
      </w:pPr>
      <w:r w:rsidRPr="002F6FC4">
        <w:rPr>
          <w:b/>
          <w:i/>
          <w:color w:val="00A9CE" w:themeColor="accent1"/>
        </w:rPr>
        <w:t>Separation from the University of Canberra</w:t>
      </w:r>
    </w:p>
    <w:p w14:paraId="5C05C200" w14:textId="782AEE54" w:rsidR="002F6FC4" w:rsidRPr="00EA7610" w:rsidRDefault="002F6FC4" w:rsidP="002F6FC4">
      <w:pPr>
        <w:rPr>
          <w:bCs/>
        </w:rPr>
      </w:pPr>
      <w:r w:rsidRPr="00EA7610">
        <w:rPr>
          <w:bCs/>
        </w:rPr>
        <w:t>Relocation support is granted on the basis that the new staff member will serve a minimum term of three years with the University. Should the appointee voluntarily end employment within this three-year period, reimbursement to the University for relocation expenses will be payable as outlined in the table overleaf:</w:t>
      </w:r>
    </w:p>
    <w:p w14:paraId="5049EAC8" w14:textId="77777777" w:rsidR="002F6FC4" w:rsidRPr="00EA7610" w:rsidRDefault="002F6FC4" w:rsidP="002F6FC4"/>
    <w:tbl>
      <w:tblPr>
        <w:tblStyle w:val="LightList-Accent1"/>
        <w:tblW w:w="0" w:type="auto"/>
        <w:jc w:val="center"/>
        <w:tblLook w:val="04A0" w:firstRow="1" w:lastRow="0" w:firstColumn="1" w:lastColumn="0" w:noHBand="0" w:noVBand="1"/>
      </w:tblPr>
      <w:tblGrid>
        <w:gridCol w:w="2376"/>
        <w:gridCol w:w="2694"/>
      </w:tblGrid>
      <w:tr w:rsidR="002F6FC4" w:rsidRPr="00EA7610" w14:paraId="52B04E02" w14:textId="77777777" w:rsidTr="00163F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14:paraId="3EC0CEBA" w14:textId="77777777" w:rsidR="002F6FC4" w:rsidRPr="00EA7610" w:rsidRDefault="002F6FC4" w:rsidP="00163F5D">
            <w:pPr>
              <w:spacing w:after="200"/>
              <w:rPr>
                <w:color w:val="FFFFFF" w:themeColor="background1"/>
              </w:rPr>
            </w:pPr>
            <w:r w:rsidRPr="00EA7610">
              <w:rPr>
                <w:color w:val="FFFFFF" w:themeColor="background1"/>
              </w:rPr>
              <w:t>Employee voluntarily leaves within</w:t>
            </w:r>
          </w:p>
        </w:tc>
        <w:tc>
          <w:tcPr>
            <w:tcW w:w="2694" w:type="dxa"/>
          </w:tcPr>
          <w:p w14:paraId="05C787C5" w14:textId="77777777" w:rsidR="002F6FC4" w:rsidRPr="00EA7610" w:rsidRDefault="002F6FC4" w:rsidP="00163F5D">
            <w:pPr>
              <w:spacing w:after="200"/>
              <w:cnfStyle w:val="100000000000" w:firstRow="1" w:lastRow="0" w:firstColumn="0" w:lastColumn="0" w:oddVBand="0" w:evenVBand="0" w:oddHBand="0" w:evenHBand="0" w:firstRowFirstColumn="0" w:firstRowLastColumn="0" w:lastRowFirstColumn="0" w:lastRowLastColumn="0"/>
              <w:rPr>
                <w:color w:val="FFFFFF" w:themeColor="background1"/>
              </w:rPr>
            </w:pPr>
            <w:r w:rsidRPr="00EA7610">
              <w:rPr>
                <w:color w:val="FFFFFF" w:themeColor="background1"/>
              </w:rPr>
              <w:t>Percentage of expenses to be reimbursed</w:t>
            </w:r>
          </w:p>
        </w:tc>
      </w:tr>
      <w:tr w:rsidR="002F6FC4" w:rsidRPr="00EA7610" w14:paraId="787DD2C8" w14:textId="77777777" w:rsidTr="00163F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14:paraId="50AD7A78" w14:textId="77777777" w:rsidR="002F6FC4" w:rsidRPr="00EA7610" w:rsidRDefault="002F6FC4" w:rsidP="00163F5D">
            <w:pPr>
              <w:spacing w:after="200"/>
            </w:pPr>
            <w:r w:rsidRPr="00EA7610">
              <w:t>1-12 months</w:t>
            </w:r>
          </w:p>
        </w:tc>
        <w:tc>
          <w:tcPr>
            <w:tcW w:w="2694" w:type="dxa"/>
          </w:tcPr>
          <w:p w14:paraId="2A401BF8"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75%</w:t>
            </w:r>
          </w:p>
        </w:tc>
      </w:tr>
      <w:tr w:rsidR="002F6FC4" w:rsidRPr="00EA7610" w14:paraId="05D171DE" w14:textId="77777777" w:rsidTr="00163F5D">
        <w:trPr>
          <w:jc w:val="center"/>
        </w:trPr>
        <w:tc>
          <w:tcPr>
            <w:cnfStyle w:val="001000000000" w:firstRow="0" w:lastRow="0" w:firstColumn="1" w:lastColumn="0" w:oddVBand="0" w:evenVBand="0" w:oddHBand="0" w:evenHBand="0" w:firstRowFirstColumn="0" w:firstRowLastColumn="0" w:lastRowFirstColumn="0" w:lastRowLastColumn="0"/>
            <w:tcW w:w="2376" w:type="dxa"/>
          </w:tcPr>
          <w:p w14:paraId="0E0C2CC2" w14:textId="77777777" w:rsidR="002F6FC4" w:rsidRPr="00EA7610" w:rsidRDefault="002F6FC4" w:rsidP="00163F5D">
            <w:pPr>
              <w:spacing w:after="200"/>
            </w:pPr>
            <w:r w:rsidRPr="00EA7610">
              <w:t>13-18 months</w:t>
            </w:r>
          </w:p>
        </w:tc>
        <w:tc>
          <w:tcPr>
            <w:tcW w:w="2694" w:type="dxa"/>
          </w:tcPr>
          <w:p w14:paraId="041DC9C0" w14:textId="77777777" w:rsidR="002F6FC4" w:rsidRPr="00EA7610" w:rsidRDefault="002F6FC4" w:rsidP="00163F5D">
            <w:pPr>
              <w:spacing w:after="200"/>
              <w:cnfStyle w:val="000000000000" w:firstRow="0" w:lastRow="0" w:firstColumn="0" w:lastColumn="0" w:oddVBand="0" w:evenVBand="0" w:oddHBand="0" w:evenHBand="0" w:firstRowFirstColumn="0" w:firstRowLastColumn="0" w:lastRowFirstColumn="0" w:lastRowLastColumn="0"/>
            </w:pPr>
            <w:r w:rsidRPr="00EA7610">
              <w:t>50%</w:t>
            </w:r>
          </w:p>
        </w:tc>
      </w:tr>
      <w:tr w:rsidR="002F6FC4" w:rsidRPr="00EA7610" w14:paraId="3F805147" w14:textId="77777777" w:rsidTr="00163F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76" w:type="dxa"/>
          </w:tcPr>
          <w:p w14:paraId="4F09FE15" w14:textId="77777777" w:rsidR="002F6FC4" w:rsidRPr="00EA7610" w:rsidRDefault="002F6FC4" w:rsidP="00163F5D">
            <w:pPr>
              <w:spacing w:after="200"/>
            </w:pPr>
            <w:r w:rsidRPr="00EA7610">
              <w:t>19-24 months</w:t>
            </w:r>
          </w:p>
        </w:tc>
        <w:tc>
          <w:tcPr>
            <w:tcW w:w="2694" w:type="dxa"/>
          </w:tcPr>
          <w:p w14:paraId="4D653A74" w14:textId="77777777" w:rsidR="002F6FC4" w:rsidRPr="00EA7610" w:rsidRDefault="002F6FC4" w:rsidP="00163F5D">
            <w:pPr>
              <w:spacing w:after="200"/>
              <w:cnfStyle w:val="000000100000" w:firstRow="0" w:lastRow="0" w:firstColumn="0" w:lastColumn="0" w:oddVBand="0" w:evenVBand="0" w:oddHBand="1" w:evenHBand="0" w:firstRowFirstColumn="0" w:firstRowLastColumn="0" w:lastRowFirstColumn="0" w:lastRowLastColumn="0"/>
            </w:pPr>
            <w:r w:rsidRPr="00EA7610">
              <w:t>25%</w:t>
            </w:r>
          </w:p>
        </w:tc>
      </w:tr>
    </w:tbl>
    <w:p w14:paraId="38BAE22A" w14:textId="77777777" w:rsidR="002F6FC4" w:rsidRPr="00EA7610" w:rsidRDefault="002F6FC4" w:rsidP="002F6FC4"/>
    <w:p w14:paraId="02810A05" w14:textId="6CBA0F81" w:rsidR="00D86959" w:rsidRPr="002F6FC4" w:rsidRDefault="00D86959" w:rsidP="002F6FC4"/>
    <w:sectPr w:rsidR="00D86959" w:rsidRPr="002F6FC4" w:rsidSect="00517034">
      <w:headerReference w:type="default" r:id="rId8"/>
      <w:footerReference w:type="default" r:id="rId9"/>
      <w:endnotePr>
        <w:numFmt w:val="decimal"/>
      </w:endnotePr>
      <w:pgSz w:w="11906" w:h="16838"/>
      <w:pgMar w:top="2268" w:right="851" w:bottom="187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EE4E" w14:textId="77777777" w:rsidR="002F6FC4" w:rsidRDefault="002F6FC4" w:rsidP="00D86959">
      <w:pPr>
        <w:spacing w:after="0" w:line="240" w:lineRule="auto"/>
      </w:pPr>
      <w:r>
        <w:separator/>
      </w:r>
    </w:p>
  </w:endnote>
  <w:endnote w:type="continuationSeparator" w:id="0">
    <w:p w14:paraId="34A4E40D" w14:textId="77777777" w:rsidR="002F6FC4" w:rsidRDefault="002F6FC4" w:rsidP="00D8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159193"/>
      <w:docPartObj>
        <w:docPartGallery w:val="Page Numbers (Bottom of Page)"/>
        <w:docPartUnique/>
      </w:docPartObj>
    </w:sdtPr>
    <w:sdtEndPr>
      <w:rPr>
        <w:noProof/>
      </w:rPr>
    </w:sdtEndPr>
    <w:sdtContent>
      <w:p w14:paraId="12A406DC" w14:textId="77777777" w:rsidR="00D464BC" w:rsidRDefault="00D464BC" w:rsidP="00E50B6C">
        <w:pPr>
          <w:pStyle w:val="Footer"/>
          <w:ind w:firstLine="720"/>
          <w:jc w:val="right"/>
        </w:pPr>
        <w:r w:rsidRPr="00D464BC">
          <w:rPr>
            <w:b/>
            <w:color w:val="00A9CE" w:themeColor="accent1"/>
          </w:rPr>
          <w:fldChar w:fldCharType="begin"/>
        </w:r>
        <w:r w:rsidRPr="00D464BC">
          <w:rPr>
            <w:b/>
            <w:color w:val="00A9CE" w:themeColor="accent1"/>
          </w:rPr>
          <w:instrText xml:space="preserve"> PAGE   \* MERGEFORMAT </w:instrText>
        </w:r>
        <w:r w:rsidRPr="00D464BC">
          <w:rPr>
            <w:b/>
            <w:color w:val="00A9CE" w:themeColor="accent1"/>
          </w:rPr>
          <w:fldChar w:fldCharType="separate"/>
        </w:r>
        <w:r w:rsidR="00F96FB1">
          <w:rPr>
            <w:b/>
            <w:noProof/>
            <w:color w:val="00A9CE" w:themeColor="accent1"/>
          </w:rPr>
          <w:t>1</w:t>
        </w:r>
        <w:r w:rsidRPr="00D464BC">
          <w:rPr>
            <w:b/>
            <w:noProof/>
            <w:color w:val="00A9CE" w:themeColor="accent1"/>
          </w:rPr>
          <w:fldChar w:fldCharType="end"/>
        </w:r>
      </w:p>
    </w:sdtContent>
  </w:sdt>
  <w:p w14:paraId="39A7D128" w14:textId="77777777" w:rsidR="00D464BC" w:rsidRDefault="00D46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A0E2D" w14:textId="77777777" w:rsidR="002F6FC4" w:rsidRDefault="002F6FC4" w:rsidP="00D86959">
      <w:pPr>
        <w:spacing w:after="0" w:line="240" w:lineRule="auto"/>
      </w:pPr>
      <w:r>
        <w:separator/>
      </w:r>
    </w:p>
  </w:footnote>
  <w:footnote w:type="continuationSeparator" w:id="0">
    <w:p w14:paraId="2BAB6F27" w14:textId="77777777" w:rsidR="002F6FC4" w:rsidRDefault="002F6FC4" w:rsidP="00D86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1E96B" w14:textId="77777777" w:rsidR="00D86959" w:rsidRDefault="00D86959">
    <w:pPr>
      <w:pStyle w:val="Header"/>
    </w:pPr>
    <w:r>
      <w:rPr>
        <w:noProof/>
        <w:lang w:val="en-GB" w:eastAsia="en-GB"/>
      </w:rPr>
      <w:drawing>
        <wp:anchor distT="0" distB="0" distL="114300" distR="114300" simplePos="0" relativeHeight="251658240" behindDoc="1" locked="0" layoutInCell="1" allowOverlap="1" wp14:anchorId="2493B45D" wp14:editId="517B2A40">
          <wp:simplePos x="0" y="0"/>
          <wp:positionH relativeFrom="page">
            <wp:posOffset>13441</wp:posOffset>
          </wp:positionH>
          <wp:positionV relativeFrom="page">
            <wp:posOffset>12700</wp:posOffset>
          </wp:positionV>
          <wp:extent cx="7533318" cy="1065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amp; footer.jpg"/>
                  <pic:cNvPicPr/>
                </pic:nvPicPr>
                <pic:blipFill>
                  <a:blip r:embed="rId1" cstate="print">
                    <a:extLst>
                      <a:ext uri="{28A0092B-C50C-407E-A947-70E740481C1C}">
                        <a14:useLocalDpi xmlns:a14="http://schemas.microsoft.com/office/drawing/2010/main"/>
                      </a:ext>
                    </a:extLst>
                  </a:blip>
                  <a:stretch>
                    <a:fillRect/>
                  </a:stretch>
                </pic:blipFill>
                <pic:spPr>
                  <a:xfrm>
                    <a:off x="0" y="0"/>
                    <a:ext cx="7533318" cy="106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64167A"/>
    <w:multiLevelType w:val="multilevel"/>
    <w:tmpl w:val="8D4064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C3A2137"/>
    <w:multiLevelType w:val="multilevel"/>
    <w:tmpl w:val="F44C96FC"/>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079477135">
    <w:abstractNumId w:val="1"/>
  </w:num>
  <w:num w:numId="2" w16cid:durableId="73166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C4"/>
    <w:rsid w:val="000525FA"/>
    <w:rsid w:val="00190819"/>
    <w:rsid w:val="001A120A"/>
    <w:rsid w:val="0020035C"/>
    <w:rsid w:val="00246D08"/>
    <w:rsid w:val="002F5ABC"/>
    <w:rsid w:val="002F6FC4"/>
    <w:rsid w:val="00464E26"/>
    <w:rsid w:val="00517034"/>
    <w:rsid w:val="0053679C"/>
    <w:rsid w:val="0055062A"/>
    <w:rsid w:val="005F6DC0"/>
    <w:rsid w:val="00601CD7"/>
    <w:rsid w:val="00674D6E"/>
    <w:rsid w:val="0079575C"/>
    <w:rsid w:val="00980EAC"/>
    <w:rsid w:val="00A96274"/>
    <w:rsid w:val="00B404B1"/>
    <w:rsid w:val="00C435D6"/>
    <w:rsid w:val="00C726C4"/>
    <w:rsid w:val="00D464BC"/>
    <w:rsid w:val="00D64D7F"/>
    <w:rsid w:val="00D86144"/>
    <w:rsid w:val="00D86959"/>
    <w:rsid w:val="00E50B6C"/>
    <w:rsid w:val="00E77185"/>
    <w:rsid w:val="00F35DB0"/>
    <w:rsid w:val="00F96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FA12B9"/>
  <w15:docId w15:val="{38AB2F91-33E0-4FDE-8BD0-78FA32D7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F6FC4"/>
    <w:pPr>
      <w:spacing w:line="264" w:lineRule="auto"/>
    </w:pPr>
    <w:rPr>
      <w:rFonts w:ascii="Calibri" w:eastAsia="Calibri" w:hAnsi="Calibri" w:cs="Times New Roman"/>
      <w:color w:val="58595B"/>
      <w:sz w:val="20"/>
    </w:rPr>
  </w:style>
  <w:style w:type="paragraph" w:styleId="Heading1">
    <w:name w:val="heading 1"/>
    <w:basedOn w:val="Normal"/>
    <w:next w:val="Normal"/>
    <w:link w:val="Heading1Char"/>
    <w:uiPriority w:val="9"/>
    <w:qFormat/>
    <w:rsid w:val="00D86959"/>
    <w:pPr>
      <w:keepNext/>
      <w:keepLines/>
      <w:spacing w:after="480" w:line="240" w:lineRule="auto"/>
      <w:outlineLvl w:val="0"/>
    </w:pPr>
    <w:rPr>
      <w:rFonts w:asciiTheme="majorHAnsi" w:eastAsiaTheme="majorEastAsia" w:hAnsiTheme="majorHAnsi" w:cstheme="majorBidi"/>
      <w:b/>
      <w:bCs/>
      <w:color w:val="00A9CE" w:themeColor="accent1"/>
      <w:sz w:val="60"/>
      <w:szCs w:val="28"/>
    </w:rPr>
  </w:style>
  <w:style w:type="paragraph" w:styleId="Heading2">
    <w:name w:val="heading 2"/>
    <w:basedOn w:val="Normal"/>
    <w:next w:val="Normal"/>
    <w:link w:val="Heading2Char"/>
    <w:uiPriority w:val="9"/>
    <w:unhideWhenUsed/>
    <w:qFormat/>
    <w:rsid w:val="00D86959"/>
    <w:pPr>
      <w:keepNext/>
      <w:keepLines/>
      <w:spacing w:after="60" w:line="240" w:lineRule="auto"/>
      <w:outlineLvl w:val="1"/>
    </w:pPr>
    <w:rPr>
      <w:rFonts w:asciiTheme="majorHAnsi" w:eastAsiaTheme="majorEastAsia" w:hAnsiTheme="majorHAnsi" w:cstheme="majorBidi"/>
      <w:b/>
      <w:bCs/>
      <w:color w:val="00A9CE" w:themeColor="accent1"/>
      <w:sz w:val="44"/>
      <w:szCs w:val="26"/>
    </w:rPr>
  </w:style>
  <w:style w:type="paragraph" w:styleId="Heading3">
    <w:name w:val="heading 3"/>
    <w:basedOn w:val="Normal"/>
    <w:next w:val="Normal"/>
    <w:link w:val="Heading3Char"/>
    <w:uiPriority w:val="9"/>
    <w:unhideWhenUsed/>
    <w:qFormat/>
    <w:rsid w:val="00D86959"/>
    <w:pPr>
      <w:keepNext/>
      <w:keepLines/>
      <w:spacing w:after="60"/>
      <w:outlineLvl w:val="2"/>
    </w:pPr>
    <w:rPr>
      <w:rFonts w:asciiTheme="majorHAnsi" w:eastAsiaTheme="majorEastAsia" w:hAnsiTheme="majorHAnsi" w:cstheme="majorBidi"/>
      <w:b/>
      <w:bCs/>
      <w:color w:val="00A9CE" w:themeColor="accent1"/>
      <w:sz w:val="32"/>
    </w:rPr>
  </w:style>
  <w:style w:type="paragraph" w:styleId="Heading4">
    <w:name w:val="heading 4"/>
    <w:basedOn w:val="Normal"/>
    <w:next w:val="Normal"/>
    <w:link w:val="Heading4Char"/>
    <w:uiPriority w:val="9"/>
    <w:unhideWhenUsed/>
    <w:qFormat/>
    <w:rsid w:val="00D86959"/>
    <w:pPr>
      <w:keepNext/>
      <w:keepLines/>
      <w:spacing w:after="60"/>
      <w:outlineLvl w:val="3"/>
    </w:pPr>
    <w:rPr>
      <w:rFonts w:asciiTheme="majorHAnsi" w:eastAsiaTheme="majorEastAsia" w:hAnsiTheme="majorHAnsi" w:cstheme="majorBidi"/>
      <w:bCs/>
      <w:iCs/>
      <w:color w:val="00A9CE" w:themeColor="accent1"/>
      <w:sz w:val="28"/>
    </w:rPr>
  </w:style>
  <w:style w:type="paragraph" w:styleId="Heading5">
    <w:name w:val="heading 5"/>
    <w:basedOn w:val="Normal"/>
    <w:next w:val="Normal"/>
    <w:link w:val="Heading5Char"/>
    <w:uiPriority w:val="9"/>
    <w:unhideWhenUsed/>
    <w:qFormat/>
    <w:rsid w:val="00D86959"/>
    <w:pPr>
      <w:keepNext/>
      <w:keepLines/>
      <w:spacing w:after="60"/>
      <w:outlineLvl w:val="4"/>
    </w:pPr>
    <w:rPr>
      <w:rFonts w:asciiTheme="majorHAnsi" w:eastAsiaTheme="majorEastAsia" w:hAnsiTheme="majorHAnsi" w:cstheme="majorBidi"/>
      <w:color w:val="00A9CE"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959"/>
  </w:style>
  <w:style w:type="paragraph" w:styleId="Footer">
    <w:name w:val="footer"/>
    <w:basedOn w:val="Normal"/>
    <w:link w:val="FooterChar"/>
    <w:uiPriority w:val="99"/>
    <w:unhideWhenUsed/>
    <w:rsid w:val="00D86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959"/>
  </w:style>
  <w:style w:type="paragraph" w:styleId="BalloonText">
    <w:name w:val="Balloon Text"/>
    <w:basedOn w:val="Normal"/>
    <w:link w:val="BalloonTextChar"/>
    <w:uiPriority w:val="99"/>
    <w:semiHidden/>
    <w:unhideWhenUsed/>
    <w:rsid w:val="00D8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959"/>
    <w:rPr>
      <w:rFonts w:ascii="Tahoma" w:hAnsi="Tahoma" w:cs="Tahoma"/>
      <w:sz w:val="16"/>
      <w:szCs w:val="16"/>
    </w:rPr>
  </w:style>
  <w:style w:type="character" w:customStyle="1" w:styleId="Heading1Char">
    <w:name w:val="Heading 1 Char"/>
    <w:basedOn w:val="DefaultParagraphFont"/>
    <w:link w:val="Heading1"/>
    <w:uiPriority w:val="9"/>
    <w:rsid w:val="00D86959"/>
    <w:rPr>
      <w:rFonts w:asciiTheme="majorHAnsi" w:eastAsiaTheme="majorEastAsia" w:hAnsiTheme="majorHAnsi" w:cstheme="majorBidi"/>
      <w:b/>
      <w:bCs/>
      <w:color w:val="00A9CE" w:themeColor="accent1"/>
      <w:sz w:val="60"/>
      <w:szCs w:val="28"/>
    </w:rPr>
  </w:style>
  <w:style w:type="character" w:customStyle="1" w:styleId="Heading2Char">
    <w:name w:val="Heading 2 Char"/>
    <w:basedOn w:val="DefaultParagraphFont"/>
    <w:link w:val="Heading2"/>
    <w:uiPriority w:val="9"/>
    <w:rsid w:val="00D86959"/>
    <w:rPr>
      <w:rFonts w:asciiTheme="majorHAnsi" w:eastAsiaTheme="majorEastAsia" w:hAnsiTheme="majorHAnsi" w:cstheme="majorBidi"/>
      <w:b/>
      <w:bCs/>
      <w:color w:val="00A9CE" w:themeColor="accent1"/>
      <w:sz w:val="44"/>
      <w:szCs w:val="26"/>
    </w:rPr>
  </w:style>
  <w:style w:type="paragraph" w:customStyle="1" w:styleId="Default">
    <w:name w:val="Default"/>
    <w:rsid w:val="00D86959"/>
    <w:pPr>
      <w:autoSpaceDE w:val="0"/>
      <w:autoSpaceDN w:val="0"/>
      <w:adjustRightInd w:val="0"/>
      <w:spacing w:after="0" w:line="240" w:lineRule="auto"/>
    </w:pPr>
    <w:rPr>
      <w:rFonts w:ascii="Calibri" w:hAnsi="Calibri" w:cs="Calibri"/>
      <w:color w:val="000000"/>
      <w:sz w:val="24"/>
      <w:szCs w:val="24"/>
    </w:rPr>
  </w:style>
  <w:style w:type="paragraph" w:customStyle="1" w:styleId="Pa4">
    <w:name w:val="Pa4"/>
    <w:basedOn w:val="Default"/>
    <w:next w:val="Default"/>
    <w:uiPriority w:val="99"/>
    <w:rsid w:val="00D86959"/>
    <w:pPr>
      <w:spacing w:line="201" w:lineRule="atLeast"/>
    </w:pPr>
    <w:rPr>
      <w:rFonts w:cstheme="minorBidi"/>
      <w:color w:val="auto"/>
    </w:rPr>
  </w:style>
  <w:style w:type="character" w:customStyle="1" w:styleId="Heading3Char">
    <w:name w:val="Heading 3 Char"/>
    <w:basedOn w:val="DefaultParagraphFont"/>
    <w:link w:val="Heading3"/>
    <w:uiPriority w:val="9"/>
    <w:rsid w:val="00D86959"/>
    <w:rPr>
      <w:rFonts w:asciiTheme="majorHAnsi" w:eastAsiaTheme="majorEastAsia" w:hAnsiTheme="majorHAnsi" w:cstheme="majorBidi"/>
      <w:b/>
      <w:bCs/>
      <w:color w:val="00A9CE" w:themeColor="accent1"/>
      <w:sz w:val="32"/>
    </w:rPr>
  </w:style>
  <w:style w:type="paragraph" w:customStyle="1" w:styleId="Italic">
    <w:name w:val="Italic"/>
    <w:basedOn w:val="Normal"/>
    <w:qFormat/>
    <w:rsid w:val="00D64D7F"/>
    <w:pPr>
      <w:spacing w:before="100"/>
    </w:pPr>
    <w:rPr>
      <w:rFonts w:ascii="Georgia" w:hAnsi="Georgia"/>
      <w:i/>
      <w:color w:val="00A9CE" w:themeColor="accent1"/>
    </w:rPr>
  </w:style>
  <w:style w:type="character" w:customStyle="1" w:styleId="Heading4Char">
    <w:name w:val="Heading 4 Char"/>
    <w:basedOn w:val="DefaultParagraphFont"/>
    <w:link w:val="Heading4"/>
    <w:uiPriority w:val="9"/>
    <w:rsid w:val="00D86959"/>
    <w:rPr>
      <w:rFonts w:asciiTheme="majorHAnsi" w:eastAsiaTheme="majorEastAsia" w:hAnsiTheme="majorHAnsi" w:cstheme="majorBidi"/>
      <w:bCs/>
      <w:iCs/>
      <w:color w:val="00A9CE" w:themeColor="accent1"/>
      <w:sz w:val="28"/>
    </w:rPr>
  </w:style>
  <w:style w:type="character" w:customStyle="1" w:styleId="Heading5Char">
    <w:name w:val="Heading 5 Char"/>
    <w:basedOn w:val="DefaultParagraphFont"/>
    <w:link w:val="Heading5"/>
    <w:uiPriority w:val="9"/>
    <w:rsid w:val="00D86959"/>
    <w:rPr>
      <w:rFonts w:asciiTheme="majorHAnsi" w:eastAsiaTheme="majorEastAsia" w:hAnsiTheme="majorHAnsi" w:cstheme="majorBidi"/>
      <w:color w:val="00A9CE" w:themeColor="accent1"/>
      <w:sz w:val="24"/>
    </w:rPr>
  </w:style>
  <w:style w:type="paragraph" w:styleId="EndnoteText">
    <w:name w:val="endnote text"/>
    <w:basedOn w:val="Normal"/>
    <w:link w:val="EndnoteTextChar"/>
    <w:uiPriority w:val="99"/>
    <w:semiHidden/>
    <w:unhideWhenUsed/>
    <w:rsid w:val="00F35DB0"/>
    <w:pPr>
      <w:spacing w:after="0" w:line="240" w:lineRule="auto"/>
    </w:pPr>
    <w:rPr>
      <w:szCs w:val="20"/>
    </w:rPr>
  </w:style>
  <w:style w:type="character" w:customStyle="1" w:styleId="EndnoteTextChar">
    <w:name w:val="Endnote Text Char"/>
    <w:basedOn w:val="DefaultParagraphFont"/>
    <w:link w:val="EndnoteText"/>
    <w:uiPriority w:val="99"/>
    <w:semiHidden/>
    <w:rsid w:val="00F35DB0"/>
    <w:rPr>
      <w:sz w:val="20"/>
      <w:szCs w:val="20"/>
    </w:rPr>
  </w:style>
  <w:style w:type="character" w:styleId="EndnoteReference">
    <w:name w:val="endnote reference"/>
    <w:basedOn w:val="DefaultParagraphFont"/>
    <w:uiPriority w:val="99"/>
    <w:semiHidden/>
    <w:unhideWhenUsed/>
    <w:rsid w:val="00F35DB0"/>
    <w:rPr>
      <w:vertAlign w:val="superscript"/>
    </w:rPr>
  </w:style>
  <w:style w:type="paragraph" w:customStyle="1" w:styleId="Footnote">
    <w:name w:val="Foot note"/>
    <w:basedOn w:val="Default"/>
    <w:qFormat/>
    <w:rsid w:val="00F35DB0"/>
    <w:rPr>
      <w:rFonts w:asciiTheme="minorHAnsi" w:hAnsiTheme="minorHAnsi" w:cs="Myriad Pro"/>
      <w:color w:val="58595B" w:themeColor="accent2"/>
      <w:sz w:val="16"/>
      <w:szCs w:val="16"/>
    </w:rPr>
  </w:style>
  <w:style w:type="paragraph" w:styleId="FootnoteText">
    <w:name w:val="footnote text"/>
    <w:basedOn w:val="Normal"/>
    <w:link w:val="FootnoteTextChar"/>
    <w:uiPriority w:val="99"/>
    <w:semiHidden/>
    <w:unhideWhenUsed/>
    <w:rsid w:val="00B404B1"/>
    <w:pPr>
      <w:spacing w:after="0" w:line="240" w:lineRule="auto"/>
    </w:pPr>
    <w:rPr>
      <w:szCs w:val="20"/>
    </w:rPr>
  </w:style>
  <w:style w:type="character" w:customStyle="1" w:styleId="FootnoteTextChar">
    <w:name w:val="Footnote Text Char"/>
    <w:basedOn w:val="DefaultParagraphFont"/>
    <w:link w:val="FootnoteText"/>
    <w:uiPriority w:val="99"/>
    <w:semiHidden/>
    <w:rsid w:val="00B404B1"/>
    <w:rPr>
      <w:color w:val="58595B" w:themeColor="accent2"/>
      <w:sz w:val="20"/>
      <w:szCs w:val="20"/>
    </w:rPr>
  </w:style>
  <w:style w:type="character" w:styleId="FootnoteReference">
    <w:name w:val="footnote reference"/>
    <w:basedOn w:val="DefaultParagraphFont"/>
    <w:uiPriority w:val="99"/>
    <w:semiHidden/>
    <w:unhideWhenUsed/>
    <w:rsid w:val="00B404B1"/>
    <w:rPr>
      <w:vertAlign w:val="superscript"/>
    </w:rPr>
  </w:style>
  <w:style w:type="character" w:styleId="PlaceholderText">
    <w:name w:val="Placeholder Text"/>
    <w:basedOn w:val="DefaultParagraphFont"/>
    <w:uiPriority w:val="99"/>
    <w:semiHidden/>
    <w:rsid w:val="00190819"/>
    <w:rPr>
      <w:color w:val="808080"/>
    </w:rPr>
  </w:style>
  <w:style w:type="table" w:styleId="LightList-Accent1">
    <w:name w:val="Light List Accent 1"/>
    <w:basedOn w:val="TableNormal"/>
    <w:uiPriority w:val="61"/>
    <w:semiHidden/>
    <w:unhideWhenUsed/>
    <w:rsid w:val="002F6FC4"/>
    <w:pPr>
      <w:spacing w:after="0" w:line="240" w:lineRule="auto"/>
    </w:pPr>
    <w:rPr>
      <w:rFonts w:ascii="Calibri" w:eastAsia="Calibri" w:hAnsi="Calibri" w:cs="Times New Roman"/>
      <w:sz w:val="20"/>
      <w:szCs w:val="20"/>
    </w:rPr>
    <w:tblPr>
      <w:tblStyleRowBandSize w:val="1"/>
      <w:tblStyleColBandSize w:val="1"/>
      <w:tblBorders>
        <w:top w:val="single" w:sz="8" w:space="0" w:color="00A9CE" w:themeColor="accent1"/>
        <w:left w:val="single" w:sz="8" w:space="0" w:color="00A9CE" w:themeColor="accent1"/>
        <w:bottom w:val="single" w:sz="8" w:space="0" w:color="00A9CE" w:themeColor="accent1"/>
        <w:right w:val="single" w:sz="8" w:space="0" w:color="00A9CE" w:themeColor="accent1"/>
      </w:tblBorders>
    </w:tblPr>
    <w:tblStylePr w:type="firstRow">
      <w:pPr>
        <w:spacing w:before="0" w:after="0" w:line="240" w:lineRule="auto"/>
      </w:pPr>
      <w:rPr>
        <w:b/>
        <w:bCs/>
        <w:color w:val="FFFFFF" w:themeColor="background1"/>
      </w:rPr>
      <w:tblPr/>
      <w:tcPr>
        <w:shd w:val="clear" w:color="auto" w:fill="00A9CE" w:themeFill="accent1"/>
      </w:tcPr>
    </w:tblStylePr>
    <w:tblStylePr w:type="lastRow">
      <w:pPr>
        <w:spacing w:before="0" w:after="0" w:line="240" w:lineRule="auto"/>
      </w:pPr>
      <w:rPr>
        <w:b/>
        <w:bCs/>
      </w:rPr>
      <w:tblPr/>
      <w:tcPr>
        <w:tcBorders>
          <w:top w:val="double" w:sz="6" w:space="0" w:color="00A9CE" w:themeColor="accent1"/>
          <w:left w:val="single" w:sz="8" w:space="0" w:color="00A9CE" w:themeColor="accent1"/>
          <w:bottom w:val="single" w:sz="8" w:space="0" w:color="00A9CE" w:themeColor="accent1"/>
          <w:right w:val="single" w:sz="8" w:space="0" w:color="00A9CE" w:themeColor="accent1"/>
        </w:tcBorders>
      </w:tcPr>
    </w:tblStylePr>
    <w:tblStylePr w:type="firstCol">
      <w:rPr>
        <w:b/>
        <w:bCs/>
      </w:rPr>
    </w:tblStylePr>
    <w:tblStylePr w:type="lastCol">
      <w:rPr>
        <w:b/>
        <w:bCs/>
      </w:rPr>
    </w:tblStylePr>
    <w:tblStylePr w:type="band1Vert">
      <w:tblPr/>
      <w:tcPr>
        <w:tcBorders>
          <w:top w:val="single" w:sz="8" w:space="0" w:color="00A9CE" w:themeColor="accent1"/>
          <w:left w:val="single" w:sz="8" w:space="0" w:color="00A9CE" w:themeColor="accent1"/>
          <w:bottom w:val="single" w:sz="8" w:space="0" w:color="00A9CE" w:themeColor="accent1"/>
          <w:right w:val="single" w:sz="8" w:space="0" w:color="00A9CE" w:themeColor="accent1"/>
        </w:tcBorders>
      </w:tcPr>
    </w:tblStylePr>
    <w:tblStylePr w:type="band1Horz">
      <w:tblPr/>
      <w:tcPr>
        <w:tcBorders>
          <w:top w:val="single" w:sz="8" w:space="0" w:color="00A9CE" w:themeColor="accent1"/>
          <w:left w:val="single" w:sz="8" w:space="0" w:color="00A9CE" w:themeColor="accent1"/>
          <w:bottom w:val="single" w:sz="8" w:space="0" w:color="00A9CE" w:themeColor="accent1"/>
          <w:right w:val="single" w:sz="8" w:space="0" w:color="00A9CE" w:themeColor="accent1"/>
        </w:tcBorders>
      </w:tcPr>
    </w:tblStylePr>
  </w:style>
  <w:style w:type="paragraph" w:styleId="ListParagraph">
    <w:name w:val="List Paragraph"/>
    <w:basedOn w:val="Normal"/>
    <w:uiPriority w:val="34"/>
    <w:qFormat/>
    <w:rsid w:val="002F6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425471\Downloads\Document-Corporate_PRIMARY.dotx" TargetMode="External"/></Relationships>
</file>

<file path=word/theme/theme1.xml><?xml version="1.0" encoding="utf-8"?>
<a:theme xmlns:a="http://schemas.openxmlformats.org/drawingml/2006/main" name="Office Theme">
  <a:themeElements>
    <a:clrScheme name="UC-Rebrand">
      <a:dk1>
        <a:sysClr val="windowText" lastClr="000000"/>
      </a:dk1>
      <a:lt1>
        <a:sysClr val="window" lastClr="FFFFFF"/>
      </a:lt1>
      <a:dk2>
        <a:srgbClr val="414D61"/>
      </a:dk2>
      <a:lt2>
        <a:srgbClr val="FFFFFF"/>
      </a:lt2>
      <a:accent1>
        <a:srgbClr val="00A9CE"/>
      </a:accent1>
      <a:accent2>
        <a:srgbClr val="58595B"/>
      </a:accent2>
      <a:accent3>
        <a:srgbClr val="92D6E3"/>
      </a:accent3>
      <a:accent4>
        <a:srgbClr val="006C91"/>
      </a:accent4>
      <a:accent5>
        <a:srgbClr val="414D61"/>
      </a:accent5>
      <a:accent6>
        <a:srgbClr val="00A79D"/>
      </a:accent6>
      <a:hlink>
        <a:srgbClr val="00A9CE"/>
      </a:hlink>
      <a:folHlink>
        <a:srgbClr val="006C91"/>
      </a:folHlink>
    </a:clrScheme>
    <a:fontScheme name="UC-Rebrand">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39CA-3F01-4175-9C40-C23513C2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Document-Corporate_PRIMARY</Template>
  <TotalTime>0</TotalTime>
  <Pages>3</Pages>
  <Words>857</Words>
  <Characters>4885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Canberra</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Priya.Larsen</dc:creator>
  <cp:lastModifiedBy>Jerrin.Mathew Koshy</cp:lastModifiedBy>
  <cp:revision>2</cp:revision>
  <cp:lastPrinted>2020-02-03T02:31:00Z</cp:lastPrinted>
  <dcterms:created xsi:type="dcterms:W3CDTF">2023-09-12T00:37:00Z</dcterms:created>
  <dcterms:modified xsi:type="dcterms:W3CDTF">2023-09-12T00:37:00Z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6fef03-d487-4433-8e43-6b81c0a1b7be_Enabled">
    <vt:lpwstr>true</vt:lpwstr>
  </property>
  <property fmtid="{D5CDD505-2E9C-101B-9397-08002B2CF9AE}" pid="3" name="MSIP_Label_bf6fef03-d487-4433-8e43-6b81c0a1b7be_SetDate">
    <vt:lpwstr>2023-09-12T00:37:45Z</vt:lpwstr>
  </property>
  <property fmtid="{D5CDD505-2E9C-101B-9397-08002B2CF9AE}" pid="4" name="MSIP_Label_bf6fef03-d487-4433-8e43-6b81c0a1b7be_Method">
    <vt:lpwstr>Standard</vt:lpwstr>
  </property>
  <property fmtid="{D5CDD505-2E9C-101B-9397-08002B2CF9AE}" pid="5" name="MSIP_Label_bf6fef03-d487-4433-8e43-6b81c0a1b7be_Name">
    <vt:lpwstr>Unclassified</vt:lpwstr>
  </property>
  <property fmtid="{D5CDD505-2E9C-101B-9397-08002B2CF9AE}" pid="6" name="MSIP_Label_bf6fef03-d487-4433-8e43-6b81c0a1b7be_SiteId">
    <vt:lpwstr>1daf5147-a543-4707-a2fb-2acf0b2a3936</vt:lpwstr>
  </property>
  <property fmtid="{D5CDD505-2E9C-101B-9397-08002B2CF9AE}" pid="7" name="MSIP_Label_bf6fef03-d487-4433-8e43-6b81c0a1b7be_ActionId">
    <vt:lpwstr>0d99e08c-945f-4880-bf81-3038376f2bd3</vt:lpwstr>
  </property>
  <property fmtid="{D5CDD505-2E9C-101B-9397-08002B2CF9AE}" pid="8" name="MSIP_Label_bf6fef03-d487-4433-8e43-6b81c0a1b7be_ContentBits">
    <vt:lpwstr>0</vt:lpwstr>
  </property>
</Properties>
</file>