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4F59" w14:textId="77777777" w:rsidR="002E1409" w:rsidRDefault="002E1409" w:rsidP="002E1409">
      <w:pPr>
        <w:jc w:val="center"/>
        <w:rPr>
          <w:rStyle w:val="Strong"/>
          <w:rFonts w:ascii="Lato" w:hAnsi="Lato"/>
          <w:color w:val="333333"/>
          <w:u w:val="single"/>
          <w:shd w:val="clear" w:color="auto" w:fill="FFFFFF"/>
        </w:rPr>
      </w:pPr>
    </w:p>
    <w:p w14:paraId="4782019D" w14:textId="30BB9127" w:rsidR="002822E5" w:rsidRDefault="002E1409" w:rsidP="002E1409">
      <w:pPr>
        <w:jc w:val="center"/>
      </w:pPr>
      <w:r>
        <w:rPr>
          <w:rStyle w:val="Strong"/>
          <w:rFonts w:ascii="Lato" w:hAnsi="Lato"/>
          <w:color w:val="333333"/>
          <w:u w:val="single"/>
          <w:shd w:val="clear" w:color="auto" w:fill="FFFFFF"/>
        </w:rPr>
        <w:t>APPENDIX A - FRAUD PREVENTION, DETECTION AND RESPONSE STRATEGIES</w:t>
      </w:r>
    </w:p>
    <w:p w14:paraId="4E232F8E" w14:textId="77777777" w:rsidR="002E1409" w:rsidRPr="002E1409" w:rsidRDefault="002E1409" w:rsidP="002E1409"/>
    <w:p w14:paraId="6D9EF58A" w14:textId="77777777" w:rsidR="002E1409" w:rsidRPr="002E1409" w:rsidRDefault="002E1409" w:rsidP="002E1409"/>
    <w:p w14:paraId="59A539B7" w14:textId="77777777" w:rsidR="002E1409" w:rsidRPr="002E1409" w:rsidRDefault="002E1409" w:rsidP="002E1409">
      <w:pPr>
        <w:spacing w:after="0" w:line="240" w:lineRule="auto"/>
        <w:rPr>
          <w:rFonts w:ascii="Times New Roman" w:eastAsia="Times New Roman" w:hAnsi="Times New Roman" w:cs="Times New Roman"/>
          <w:kern w:val="0"/>
          <w:sz w:val="24"/>
          <w:szCs w:val="24"/>
          <w:lang w:eastAsia="en-AU"/>
          <w14:ligatures w14:val="none"/>
        </w:rPr>
      </w:pPr>
      <w:r w:rsidRPr="002E1409">
        <w:rPr>
          <w:rFonts w:ascii="Lato" w:eastAsia="Times New Roman" w:hAnsi="Lato" w:cs="Times New Roman"/>
          <w:color w:val="333333"/>
          <w:kern w:val="0"/>
          <w:sz w:val="24"/>
          <w:szCs w:val="24"/>
          <w:shd w:val="clear" w:color="auto" w:fill="FFFFFF"/>
          <w:lang w:eastAsia="en-AU"/>
          <w14:ligatures w14:val="none"/>
        </w:rPr>
        <w:t>The key strategies and actions for each fraud control function within the University are shown in the table below.</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2899"/>
        <w:gridCol w:w="6111"/>
      </w:tblGrid>
      <w:tr w:rsidR="002E1409" w:rsidRPr="002E1409" w14:paraId="33B3F141" w14:textId="77777777" w:rsidTr="002E1409">
        <w:trPr>
          <w:tblHeader/>
        </w:trPr>
        <w:tc>
          <w:tcPr>
            <w:tcW w:w="6" w:type="dxa"/>
            <w:tcBorders>
              <w:top w:val="single" w:sz="6" w:space="0" w:color="000000"/>
              <w:left w:val="single" w:sz="6" w:space="0" w:color="000000"/>
              <w:bottom w:val="single" w:sz="6" w:space="0" w:color="000000"/>
              <w:right w:val="single" w:sz="6" w:space="0" w:color="000000"/>
            </w:tcBorders>
            <w:shd w:val="clear" w:color="auto" w:fill="029DDD"/>
            <w:hideMark/>
          </w:tcPr>
          <w:p w14:paraId="32A3F686" w14:textId="77777777" w:rsidR="002E1409" w:rsidRPr="002E1409" w:rsidRDefault="002E1409" w:rsidP="002E1409">
            <w:pPr>
              <w:spacing w:before="60"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FFFFFF"/>
                <w:kern w:val="0"/>
                <w:sz w:val="24"/>
                <w:szCs w:val="24"/>
                <w:lang w:eastAsia="en-AU"/>
                <w14:ligatures w14:val="none"/>
              </w:rPr>
              <w:t>Strategy</w:t>
            </w:r>
          </w:p>
        </w:tc>
        <w:tc>
          <w:tcPr>
            <w:tcW w:w="6" w:type="dxa"/>
            <w:tcBorders>
              <w:top w:val="single" w:sz="6" w:space="0" w:color="000000"/>
              <w:left w:val="single" w:sz="6" w:space="0" w:color="000000"/>
              <w:bottom w:val="single" w:sz="6" w:space="0" w:color="000000"/>
              <w:right w:val="single" w:sz="6" w:space="0" w:color="000000"/>
            </w:tcBorders>
            <w:shd w:val="clear" w:color="auto" w:fill="029DDD"/>
            <w:hideMark/>
          </w:tcPr>
          <w:p w14:paraId="573552BD" w14:textId="77777777" w:rsidR="002E1409" w:rsidRPr="002E1409" w:rsidRDefault="002E1409" w:rsidP="002E1409">
            <w:pPr>
              <w:spacing w:before="60"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FFFFFF"/>
                <w:kern w:val="0"/>
                <w:sz w:val="24"/>
                <w:szCs w:val="24"/>
                <w:lang w:eastAsia="en-AU"/>
                <w14:ligatures w14:val="none"/>
              </w:rPr>
              <w:t>Key Actions</w:t>
            </w:r>
          </w:p>
        </w:tc>
      </w:tr>
      <w:tr w:rsidR="002E1409" w:rsidRPr="002E1409" w14:paraId="0D5CA308" w14:textId="77777777" w:rsidTr="002E1409">
        <w:tc>
          <w:tcPr>
            <w:tcW w:w="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93B273A" w14:textId="77777777" w:rsidR="002E1409" w:rsidRPr="002E1409" w:rsidRDefault="002E1409" w:rsidP="002E1409">
            <w:pPr>
              <w:spacing w:before="60"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029DDD"/>
                <w:kern w:val="0"/>
                <w:sz w:val="24"/>
                <w:szCs w:val="24"/>
                <w:lang w:eastAsia="en-AU"/>
                <w14:ligatures w14:val="none"/>
              </w:rPr>
              <w:t>Prevention</w:t>
            </w:r>
          </w:p>
        </w:tc>
      </w:tr>
      <w:tr w:rsidR="002E1409" w:rsidRPr="002E1409" w14:paraId="70BFC7E5" w14:textId="77777777" w:rsidTr="002E1409">
        <w:trPr>
          <w:trHeight w:val="270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35E71DE8" w14:textId="77777777" w:rsidR="002E1409" w:rsidRPr="002E1409" w:rsidRDefault="002E1409" w:rsidP="002E1409">
            <w:pPr>
              <w:spacing w:before="60"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Maintain ongoing fraud awareness</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7E73295D" w14:textId="77777777" w:rsidR="002E1409" w:rsidRPr="002E1409" w:rsidRDefault="002E1409" w:rsidP="002E1409">
            <w:pPr>
              <w:numPr>
                <w:ilvl w:val="0"/>
                <w:numId w:val="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Ensure all staff are aware of the University’s Fraud and Corruption Control Plan and relevant codes of conduct.</w:t>
            </w:r>
          </w:p>
          <w:p w14:paraId="2306DE0E" w14:textId="77777777" w:rsidR="002E1409" w:rsidRPr="002E1409" w:rsidRDefault="002E1409" w:rsidP="002E1409">
            <w:pPr>
              <w:numPr>
                <w:ilvl w:val="0"/>
                <w:numId w:val="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 xml:space="preserve">Provide fraud awareness training to </w:t>
            </w:r>
            <w:proofErr w:type="gramStart"/>
            <w:r w:rsidRPr="002E1409">
              <w:rPr>
                <w:rFonts w:ascii="Lato" w:eastAsia="Times New Roman" w:hAnsi="Lato" w:cs="Times New Roman"/>
                <w:color w:val="333333"/>
                <w:kern w:val="0"/>
                <w:sz w:val="24"/>
                <w:szCs w:val="24"/>
                <w:lang w:eastAsia="en-AU"/>
                <w14:ligatures w14:val="none"/>
              </w:rPr>
              <w:t>University</w:t>
            </w:r>
            <w:proofErr w:type="gramEnd"/>
            <w:r w:rsidRPr="002E1409">
              <w:rPr>
                <w:rFonts w:ascii="Lato" w:eastAsia="Times New Roman" w:hAnsi="Lato" w:cs="Times New Roman"/>
                <w:color w:val="333333"/>
                <w:kern w:val="0"/>
                <w:sz w:val="24"/>
                <w:szCs w:val="24"/>
                <w:lang w:eastAsia="en-AU"/>
                <w14:ligatures w14:val="none"/>
              </w:rPr>
              <w:t xml:space="preserve"> staff as part of induction processes.</w:t>
            </w:r>
          </w:p>
          <w:p w14:paraId="59818FEF" w14:textId="77777777" w:rsidR="002E1409" w:rsidRPr="002E1409" w:rsidRDefault="002E1409" w:rsidP="002E1409">
            <w:pPr>
              <w:numPr>
                <w:ilvl w:val="0"/>
                <w:numId w:val="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Ensure staff clearly understand their role and obligations as a first line of defence in the prevention and detection of fraud.</w:t>
            </w:r>
          </w:p>
          <w:p w14:paraId="5A7B9D4A" w14:textId="77777777" w:rsidR="002E1409" w:rsidRPr="002E1409" w:rsidRDefault="002E1409" w:rsidP="002E1409">
            <w:pPr>
              <w:numPr>
                <w:ilvl w:val="0"/>
                <w:numId w:val="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Encourage staff to report any suspected incidents of fraud through ongoing training and promotion of fraud-related policies.</w:t>
            </w:r>
          </w:p>
          <w:p w14:paraId="534DF513" w14:textId="77777777" w:rsidR="002E1409" w:rsidRPr="002E1409" w:rsidRDefault="002E1409" w:rsidP="002E1409">
            <w:pPr>
              <w:numPr>
                <w:ilvl w:val="0"/>
                <w:numId w:val="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Ensure all updates and changes to fraud-related policies, procedures, codes of conduct, and guidelines on behaviour are published to all staff.</w:t>
            </w:r>
          </w:p>
        </w:tc>
      </w:tr>
      <w:tr w:rsidR="002E1409" w:rsidRPr="002E1409" w14:paraId="5A3036F7" w14:textId="77777777" w:rsidTr="002E1409">
        <w:trPr>
          <w:trHeight w:val="132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08648EE9"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 xml:space="preserve">Advise all managers and staff of their responsibilities for preventing, </w:t>
            </w:r>
            <w:proofErr w:type="gramStart"/>
            <w:r w:rsidRPr="002E1409">
              <w:rPr>
                <w:rFonts w:ascii="Lato" w:eastAsia="Times New Roman" w:hAnsi="Lato" w:cs="Times New Roman"/>
                <w:color w:val="333333"/>
                <w:kern w:val="0"/>
                <w:sz w:val="24"/>
                <w:szCs w:val="24"/>
                <w:lang w:eastAsia="en-AU"/>
                <w14:ligatures w14:val="none"/>
              </w:rPr>
              <w:t>detecting</w:t>
            </w:r>
            <w:proofErr w:type="gramEnd"/>
            <w:r w:rsidRPr="002E1409">
              <w:rPr>
                <w:rFonts w:ascii="Lato" w:eastAsia="Times New Roman" w:hAnsi="Lato" w:cs="Times New Roman"/>
                <w:color w:val="333333"/>
                <w:kern w:val="0"/>
                <w:sz w:val="24"/>
                <w:szCs w:val="24"/>
                <w:lang w:eastAsia="en-AU"/>
                <w14:ligatures w14:val="none"/>
              </w:rPr>
              <w:t xml:space="preserve"> and reporting fraud</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4CB37B8" w14:textId="77777777" w:rsidR="002E1409" w:rsidRPr="002E1409" w:rsidRDefault="002E1409" w:rsidP="002E1409">
            <w:pPr>
              <w:numPr>
                <w:ilvl w:val="0"/>
                <w:numId w:val="2"/>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Fraud and Corruption Control Plan is available to all University personnel on the University policy database.</w:t>
            </w:r>
          </w:p>
          <w:p w14:paraId="532554BA" w14:textId="77777777" w:rsidR="002E1409" w:rsidRPr="002E1409" w:rsidRDefault="002E1409" w:rsidP="002E1409">
            <w:pPr>
              <w:numPr>
                <w:ilvl w:val="0"/>
                <w:numId w:val="2"/>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 xml:space="preserve">Provide fraud awareness training to </w:t>
            </w:r>
            <w:proofErr w:type="gramStart"/>
            <w:r w:rsidRPr="002E1409">
              <w:rPr>
                <w:rFonts w:ascii="Lato" w:eastAsia="Times New Roman" w:hAnsi="Lato" w:cs="Times New Roman"/>
                <w:color w:val="333333"/>
                <w:kern w:val="0"/>
                <w:sz w:val="24"/>
                <w:szCs w:val="24"/>
                <w:lang w:eastAsia="en-AU"/>
                <w14:ligatures w14:val="none"/>
              </w:rPr>
              <w:t>University</w:t>
            </w:r>
            <w:proofErr w:type="gramEnd"/>
            <w:r w:rsidRPr="002E1409">
              <w:rPr>
                <w:rFonts w:ascii="Lato" w:eastAsia="Times New Roman" w:hAnsi="Lato" w:cs="Times New Roman"/>
                <w:color w:val="333333"/>
                <w:kern w:val="0"/>
                <w:sz w:val="24"/>
                <w:szCs w:val="24"/>
                <w:lang w:eastAsia="en-AU"/>
                <w14:ligatures w14:val="none"/>
              </w:rPr>
              <w:t xml:space="preserve"> staff as part of induction processes.</w:t>
            </w:r>
          </w:p>
        </w:tc>
      </w:tr>
      <w:tr w:rsidR="002E1409" w:rsidRPr="002E1409" w14:paraId="6702CA37" w14:textId="77777777" w:rsidTr="002E1409">
        <w:trPr>
          <w:trHeight w:val="303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06B981F1"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Managers will advise their staff that the University has developed and implemented its latest Fraud and Corruption Control Plan and foster an environment which promotes the highest standards of ethical behaviour</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5BAB6B9" w14:textId="77777777" w:rsidR="002E1409" w:rsidRPr="002E1409" w:rsidRDefault="002E1409" w:rsidP="002E1409">
            <w:pPr>
              <w:numPr>
                <w:ilvl w:val="0"/>
                <w:numId w:val="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Use this Plan as a basis for briefing staff within their areas of specific fraud issues affecting them.</w:t>
            </w:r>
          </w:p>
          <w:p w14:paraId="37008537" w14:textId="77777777" w:rsidR="002E1409" w:rsidRPr="002E1409" w:rsidRDefault="002E1409" w:rsidP="002E1409">
            <w:pPr>
              <w:numPr>
                <w:ilvl w:val="0"/>
                <w:numId w:val="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Ensure that their staff are aware of the mechanisms for reporting incidents of suspected fraud, in accordance with this Plan, and the need for incidents of suspected fraud to be reported in a timely manner.</w:t>
            </w:r>
          </w:p>
          <w:p w14:paraId="2A0356B0" w14:textId="77777777" w:rsidR="002E1409" w:rsidRPr="002E1409" w:rsidRDefault="002E1409" w:rsidP="002E1409">
            <w:pPr>
              <w:numPr>
                <w:ilvl w:val="0"/>
                <w:numId w:val="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 xml:space="preserve">Ensure staff are aware of relevant codes of conduct/ethics, such as the </w:t>
            </w:r>
            <w:r w:rsidRPr="002E1409">
              <w:rPr>
                <w:rFonts w:ascii="Lato" w:eastAsia="Times New Roman" w:hAnsi="Lato" w:cs="Times New Roman"/>
                <w:color w:val="333333"/>
                <w:kern w:val="0"/>
                <w:sz w:val="24"/>
                <w:szCs w:val="24"/>
                <w:lang w:eastAsia="en-AU"/>
                <w14:ligatures w14:val="none"/>
              </w:rPr>
              <w:lastRenderedPageBreak/>
              <w:t>University’s </w:t>
            </w:r>
            <w:r w:rsidRPr="002E1409">
              <w:rPr>
                <w:rFonts w:ascii="Lato" w:eastAsia="Times New Roman" w:hAnsi="Lato" w:cs="Times New Roman"/>
                <w:i/>
                <w:iCs/>
                <w:color w:val="333333"/>
                <w:kern w:val="0"/>
                <w:sz w:val="24"/>
                <w:szCs w:val="24"/>
                <w:lang w:eastAsia="en-AU"/>
                <w14:ligatures w14:val="none"/>
              </w:rPr>
              <w:t>Charter of Conduct and Values </w:t>
            </w:r>
            <w:r w:rsidRPr="002E1409">
              <w:rPr>
                <w:rFonts w:ascii="Lato" w:eastAsia="Times New Roman" w:hAnsi="Lato" w:cs="Times New Roman"/>
                <w:color w:val="333333"/>
                <w:kern w:val="0"/>
                <w:sz w:val="24"/>
                <w:szCs w:val="24"/>
                <w:lang w:eastAsia="en-AU"/>
                <w14:ligatures w14:val="none"/>
              </w:rPr>
              <w:t>and </w:t>
            </w:r>
            <w:r w:rsidRPr="002E1409">
              <w:rPr>
                <w:rFonts w:ascii="Lato" w:eastAsia="Times New Roman" w:hAnsi="Lato" w:cs="Times New Roman"/>
                <w:i/>
                <w:iCs/>
                <w:color w:val="333333"/>
                <w:kern w:val="0"/>
                <w:sz w:val="24"/>
                <w:szCs w:val="24"/>
                <w:lang w:eastAsia="en-AU"/>
                <w14:ligatures w14:val="none"/>
              </w:rPr>
              <w:t>Responsible Conduct of Research Policy.</w:t>
            </w:r>
          </w:p>
          <w:p w14:paraId="5D217142" w14:textId="3496C24E" w:rsidR="002E1409" w:rsidRPr="002E1409" w:rsidRDefault="002E1409" w:rsidP="002E1409">
            <w:pPr>
              <w:numPr>
                <w:ilvl w:val="0"/>
                <w:numId w:val="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Take remedial and preventative action, in consultation with the General Counsel, to minimise the potential for the recurrence of similar fraud activities.</w:t>
            </w:r>
          </w:p>
        </w:tc>
      </w:tr>
      <w:tr w:rsidR="002E1409" w:rsidRPr="002E1409" w14:paraId="7ED21F3E" w14:textId="77777777" w:rsidTr="002E1409">
        <w:trPr>
          <w:trHeight w:val="1455"/>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711486A1"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lastRenderedPageBreak/>
              <w:t>Implement a fraud risk assessment program</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3B7DC8D9" w14:textId="77777777" w:rsidR="002E1409" w:rsidRPr="002E1409" w:rsidRDefault="002E1409" w:rsidP="002E1409">
            <w:pPr>
              <w:numPr>
                <w:ilvl w:val="0"/>
                <w:numId w:val="4"/>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Document the fraud risk assessment in the Fraud Risk Register, which is reviewed in accordance with the University’s Resilience Management Framework, with input from managers and Internal Audit.</w:t>
            </w:r>
          </w:p>
          <w:p w14:paraId="638EF822" w14:textId="77777777" w:rsidR="002E1409" w:rsidRPr="002E1409" w:rsidRDefault="002E1409" w:rsidP="002E1409">
            <w:pPr>
              <w:numPr>
                <w:ilvl w:val="0"/>
                <w:numId w:val="4"/>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outcome of the University's fraud risk assessment program will include appropriate revisions to this Fraud and Corruption Control Plan.</w:t>
            </w:r>
          </w:p>
        </w:tc>
      </w:tr>
      <w:tr w:rsidR="002E1409" w:rsidRPr="002E1409" w14:paraId="5F252147" w14:textId="77777777" w:rsidTr="002E1409">
        <w:trPr>
          <w:trHeight w:val="141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5E058721"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Implement strategies that identify and reduce the risk of fraud and unethical conduct</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51DF5B3" w14:textId="77777777" w:rsidR="002E1409" w:rsidRPr="002E1409" w:rsidRDefault="002E1409" w:rsidP="002E1409">
            <w:pPr>
              <w:numPr>
                <w:ilvl w:val="0"/>
                <w:numId w:val="5"/>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Associate Director, Risk and Audit is responsible for coordinating the follow-up fraud risk assessment by reviewing the Fraud Risk Register, to confirm progress of implementation of all strategies identified in the Register.</w:t>
            </w:r>
          </w:p>
          <w:p w14:paraId="39679F68" w14:textId="77777777" w:rsidR="002E1409" w:rsidRPr="002E1409" w:rsidRDefault="002E1409" w:rsidP="002E1409">
            <w:pPr>
              <w:numPr>
                <w:ilvl w:val="0"/>
                <w:numId w:val="5"/>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Provide a report to the Audit Risk and Management Committee quarterly on fraud related activity.</w:t>
            </w:r>
          </w:p>
          <w:p w14:paraId="575B2847" w14:textId="77777777" w:rsidR="002E1409" w:rsidRPr="002E1409" w:rsidRDefault="002E1409" w:rsidP="002E1409">
            <w:pPr>
              <w:numPr>
                <w:ilvl w:val="0"/>
                <w:numId w:val="5"/>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Enact policies and procedures which minimise risk of fraud and enable protection.</w:t>
            </w:r>
          </w:p>
        </w:tc>
      </w:tr>
      <w:tr w:rsidR="002E1409" w:rsidRPr="002E1409" w14:paraId="306B34BA" w14:textId="77777777" w:rsidTr="002E1409">
        <w:trPr>
          <w:trHeight w:val="435"/>
        </w:trPr>
        <w:tc>
          <w:tcPr>
            <w:tcW w:w="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7A99CE"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029DDD"/>
                <w:kern w:val="0"/>
                <w:sz w:val="24"/>
                <w:szCs w:val="24"/>
                <w:lang w:eastAsia="en-AU"/>
                <w14:ligatures w14:val="none"/>
              </w:rPr>
              <w:t>Detection</w:t>
            </w:r>
          </w:p>
        </w:tc>
      </w:tr>
      <w:tr w:rsidR="002E1409" w:rsidRPr="002E1409" w14:paraId="2096848B" w14:textId="77777777" w:rsidTr="002E1409">
        <w:trPr>
          <w:trHeight w:val="183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BD28296"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Regular review of operations</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75E8851D"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This will involve:</w:t>
            </w:r>
          </w:p>
          <w:p w14:paraId="74479474" w14:textId="77777777" w:rsidR="002E1409" w:rsidRPr="002E1409" w:rsidRDefault="002E1409" w:rsidP="002E1409">
            <w:pPr>
              <w:numPr>
                <w:ilvl w:val="0"/>
                <w:numId w:val="6"/>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key management reviews (the need for which should be identified principally through the University's strategic corporate planning, and ongoing audit and evaluation processes)</w:t>
            </w:r>
          </w:p>
          <w:p w14:paraId="79172E22" w14:textId="77777777" w:rsidR="002E1409" w:rsidRPr="002E1409" w:rsidRDefault="002E1409" w:rsidP="002E1409">
            <w:pPr>
              <w:numPr>
                <w:ilvl w:val="0"/>
                <w:numId w:val="6"/>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preparation of strategic and internal audit plans</w:t>
            </w:r>
          </w:p>
          <w:p w14:paraId="0951C245" w14:textId="77777777" w:rsidR="002E1409" w:rsidRPr="002E1409" w:rsidRDefault="002E1409" w:rsidP="002E1409">
            <w:pPr>
              <w:numPr>
                <w:ilvl w:val="0"/>
                <w:numId w:val="6"/>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lastRenderedPageBreak/>
              <w:t>the conduct of internal audit reviews.</w:t>
            </w:r>
          </w:p>
        </w:tc>
      </w:tr>
      <w:tr w:rsidR="002E1409" w:rsidRPr="002E1409" w14:paraId="533B6A50" w14:textId="77777777" w:rsidTr="002E1409">
        <w:trPr>
          <w:trHeight w:val="87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9679A2B"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lastRenderedPageBreak/>
              <w:t>Provide clear avenues for reporting potential or actual fraud</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26923D03" w14:textId="77777777" w:rsidR="002E1409" w:rsidRPr="002E1409" w:rsidRDefault="002E1409" w:rsidP="002E1409">
            <w:pPr>
              <w:numPr>
                <w:ilvl w:val="0"/>
                <w:numId w:val="7"/>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University will provide easily identifiable points of contact and guidance for staff and students to report instances of actual or suspected instances of fraud or corruption.</w:t>
            </w:r>
          </w:p>
        </w:tc>
      </w:tr>
      <w:tr w:rsidR="002E1409" w:rsidRPr="002E1409" w14:paraId="7384BDAF" w14:textId="77777777" w:rsidTr="002E1409">
        <w:trPr>
          <w:trHeight w:val="435"/>
        </w:trPr>
        <w:tc>
          <w:tcPr>
            <w:tcW w:w="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96A712E"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029DDD"/>
                <w:kern w:val="0"/>
                <w:sz w:val="24"/>
                <w:szCs w:val="24"/>
                <w:lang w:eastAsia="en-AU"/>
                <w14:ligatures w14:val="none"/>
              </w:rPr>
              <w:t>Investigation (including prosecution and resolution)</w:t>
            </w:r>
          </w:p>
        </w:tc>
      </w:tr>
      <w:tr w:rsidR="002E1409" w:rsidRPr="002E1409" w14:paraId="2D04000E" w14:textId="77777777" w:rsidTr="002E1409">
        <w:trPr>
          <w:trHeight w:val="159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66DE9D2"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Conducting investigations</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01AFF1E3" w14:textId="747D6BD0" w:rsidR="002E1409" w:rsidRPr="002E1409" w:rsidRDefault="002E1409" w:rsidP="002E1409">
            <w:pPr>
              <w:numPr>
                <w:ilvl w:val="0"/>
                <w:numId w:val="8"/>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If the disclosure is assessed to be a public interest disclosure, it will be investigated in accordance with the ACT Government Public Interest Disclosure Guidelines (PID Guidelines) (noting certain exceptions under Section 20 of the</w:t>
            </w:r>
            <w:r w:rsidR="000E36D3">
              <w:rPr>
                <w:rFonts w:ascii="Lato" w:eastAsia="Times New Roman" w:hAnsi="Lato" w:cs="Times New Roman"/>
                <w:color w:val="333333"/>
                <w:kern w:val="0"/>
                <w:sz w:val="24"/>
                <w:szCs w:val="24"/>
                <w:lang w:eastAsia="en-AU"/>
                <w14:ligatures w14:val="none"/>
              </w:rPr>
              <w:t xml:space="preserve"> </w:t>
            </w:r>
            <w:hyperlink r:id="rId5" w:history="1">
              <w:r w:rsidR="000E36D3" w:rsidRPr="000E36D3">
                <w:rPr>
                  <w:rStyle w:val="Hyperlink"/>
                  <w:rFonts w:ascii="Lato" w:eastAsia="Times New Roman" w:hAnsi="Lato" w:cs="Times New Roman"/>
                  <w:kern w:val="0"/>
                  <w:sz w:val="24"/>
                  <w:szCs w:val="24"/>
                  <w:lang w:eastAsia="en-AU"/>
                  <w14:ligatures w14:val="none"/>
                </w:rPr>
                <w:t>Public Interest Disclosure (</w:t>
              </w:r>
              <w:r w:rsidRPr="000E36D3">
                <w:rPr>
                  <w:rStyle w:val="Hyperlink"/>
                  <w:rFonts w:ascii="Lato" w:eastAsia="Times New Roman" w:hAnsi="Lato" w:cs="Times New Roman"/>
                  <w:kern w:val="0"/>
                  <w:sz w:val="24"/>
                  <w:szCs w:val="24"/>
                  <w:lang w:eastAsia="en-AU"/>
                  <w14:ligatures w14:val="none"/>
                </w:rPr>
                <w:t xml:space="preserve"> PID</w:t>
              </w:r>
              <w:r w:rsidR="000E36D3" w:rsidRPr="000E36D3">
                <w:rPr>
                  <w:rStyle w:val="Hyperlink"/>
                  <w:rFonts w:ascii="Lato" w:eastAsia="Times New Roman" w:hAnsi="Lato" w:cs="Times New Roman"/>
                  <w:kern w:val="0"/>
                  <w:sz w:val="24"/>
                  <w:szCs w:val="24"/>
                  <w:lang w:eastAsia="en-AU"/>
                  <w14:ligatures w14:val="none"/>
                </w:rPr>
                <w:t>)</w:t>
              </w:r>
              <w:r w:rsidRPr="000E36D3">
                <w:rPr>
                  <w:rStyle w:val="Hyperlink"/>
                  <w:rFonts w:ascii="Lato" w:eastAsia="Times New Roman" w:hAnsi="Lato" w:cs="Times New Roman"/>
                  <w:kern w:val="0"/>
                  <w:sz w:val="24"/>
                  <w:szCs w:val="24"/>
                  <w:lang w:eastAsia="en-AU"/>
                  <w14:ligatures w14:val="none"/>
                </w:rPr>
                <w:t xml:space="preserve"> Act</w:t>
              </w:r>
            </w:hyperlink>
            <w:r w:rsidRPr="002E1409">
              <w:rPr>
                <w:rFonts w:ascii="Lato" w:eastAsia="Times New Roman" w:hAnsi="Lato" w:cs="Times New Roman"/>
                <w:color w:val="333333"/>
                <w:kern w:val="0"/>
                <w:sz w:val="24"/>
                <w:szCs w:val="24"/>
                <w:lang w:eastAsia="en-AU"/>
                <w14:ligatures w14:val="none"/>
              </w:rPr>
              <w:t>).</w:t>
            </w:r>
          </w:p>
          <w:p w14:paraId="55DF47B6" w14:textId="77777777" w:rsidR="002E1409" w:rsidRPr="002E1409" w:rsidRDefault="002E1409" w:rsidP="002E1409">
            <w:pPr>
              <w:numPr>
                <w:ilvl w:val="0"/>
                <w:numId w:val="8"/>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 xml:space="preserve">Other matters may be dealt with under the University’s disciplinary/administrative Rules, </w:t>
            </w:r>
            <w:proofErr w:type="gramStart"/>
            <w:r w:rsidRPr="002E1409">
              <w:rPr>
                <w:rFonts w:ascii="Lato" w:eastAsia="Times New Roman" w:hAnsi="Lato" w:cs="Times New Roman"/>
                <w:color w:val="333333"/>
                <w:kern w:val="0"/>
                <w:sz w:val="24"/>
                <w:szCs w:val="24"/>
                <w:lang w:eastAsia="en-AU"/>
                <w14:ligatures w14:val="none"/>
              </w:rPr>
              <w:t>policies</w:t>
            </w:r>
            <w:proofErr w:type="gramEnd"/>
            <w:r w:rsidRPr="002E1409">
              <w:rPr>
                <w:rFonts w:ascii="Lato" w:eastAsia="Times New Roman" w:hAnsi="Lato" w:cs="Times New Roman"/>
                <w:color w:val="333333"/>
                <w:kern w:val="0"/>
                <w:sz w:val="24"/>
                <w:szCs w:val="24"/>
                <w:lang w:eastAsia="en-AU"/>
                <w14:ligatures w14:val="none"/>
              </w:rPr>
              <w:t xml:space="preserve"> and procedures.</w:t>
            </w:r>
          </w:p>
          <w:p w14:paraId="71CEFE70"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Refer to </w:t>
            </w:r>
            <w:r w:rsidRPr="002E1409">
              <w:rPr>
                <w:rFonts w:ascii="Lato" w:eastAsia="Times New Roman" w:hAnsi="Lato" w:cs="Times New Roman"/>
                <w:color w:val="333333"/>
                <w:kern w:val="0"/>
                <w:sz w:val="24"/>
                <w:szCs w:val="24"/>
                <w:u w:val="single"/>
                <w:lang w:eastAsia="en-AU"/>
                <w14:ligatures w14:val="none"/>
              </w:rPr>
              <w:t>Appendix B</w:t>
            </w:r>
            <w:r w:rsidRPr="002E1409">
              <w:rPr>
                <w:rFonts w:ascii="Lato" w:eastAsia="Times New Roman" w:hAnsi="Lato" w:cs="Times New Roman"/>
                <w:color w:val="333333"/>
                <w:kern w:val="0"/>
                <w:sz w:val="24"/>
                <w:szCs w:val="24"/>
                <w:lang w:eastAsia="en-AU"/>
                <w14:ligatures w14:val="none"/>
              </w:rPr>
              <w:t> of this plan for further details.</w:t>
            </w:r>
          </w:p>
        </w:tc>
      </w:tr>
      <w:tr w:rsidR="002E1409" w:rsidRPr="002E1409" w14:paraId="3A1007CC" w14:textId="77777777" w:rsidTr="002E1409">
        <w:trPr>
          <w:trHeight w:val="192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0D82EC2F"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Initiating disciplinary/legal action</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72AB8B68" w14:textId="77777777" w:rsidR="002E1409" w:rsidRPr="002E1409" w:rsidRDefault="002E1409" w:rsidP="002E1409">
            <w:pPr>
              <w:numPr>
                <w:ilvl w:val="0"/>
                <w:numId w:val="9"/>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Alleged criminal offences may be referred for prosecution.</w:t>
            </w:r>
          </w:p>
        </w:tc>
      </w:tr>
      <w:tr w:rsidR="002E1409" w:rsidRPr="002E1409" w14:paraId="321F13B1" w14:textId="77777777" w:rsidTr="002E1409">
        <w:trPr>
          <w:trHeight w:val="171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407F00F"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Review systems and procedures (post fraud)</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0F9125DA" w14:textId="77777777" w:rsidR="002E1409" w:rsidRPr="002E1409" w:rsidRDefault="002E1409" w:rsidP="002E1409">
            <w:pPr>
              <w:numPr>
                <w:ilvl w:val="0"/>
                <w:numId w:val="10"/>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For each detected occurrence of fraud, the University will assess the significance of the occurrence and, if considered necessary, undertake a review to assess the adequacy of the internal control structure.</w:t>
            </w:r>
          </w:p>
          <w:p w14:paraId="4E65CABA" w14:textId="68B99611" w:rsidR="002E1409" w:rsidRPr="002E1409" w:rsidRDefault="002E1409" w:rsidP="002E1409">
            <w:pPr>
              <w:numPr>
                <w:ilvl w:val="0"/>
                <w:numId w:val="10"/>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General Counsel</w:t>
            </w:r>
            <w:r w:rsidR="000E36D3" w:rsidRPr="002E1409">
              <w:rPr>
                <w:rFonts w:ascii="Lato" w:eastAsia="Times New Roman" w:hAnsi="Lato" w:cs="Times New Roman"/>
                <w:color w:val="333333"/>
                <w:kern w:val="0"/>
                <w:sz w:val="24"/>
                <w:szCs w:val="24"/>
                <w:lang w:eastAsia="en-AU"/>
                <w14:ligatures w14:val="none"/>
              </w:rPr>
              <w:t xml:space="preserve"> </w:t>
            </w:r>
            <w:r w:rsidRPr="002E1409">
              <w:rPr>
                <w:rFonts w:ascii="Lato" w:eastAsia="Times New Roman" w:hAnsi="Lato" w:cs="Times New Roman"/>
                <w:color w:val="333333"/>
                <w:kern w:val="0"/>
                <w:sz w:val="24"/>
                <w:szCs w:val="24"/>
                <w:lang w:eastAsia="en-AU"/>
                <w14:ligatures w14:val="none"/>
              </w:rPr>
              <w:t xml:space="preserve">will provide advice on the need to modify the internal control structure </w:t>
            </w:r>
            <w:proofErr w:type="gramStart"/>
            <w:r w:rsidRPr="002E1409">
              <w:rPr>
                <w:rFonts w:ascii="Lato" w:eastAsia="Times New Roman" w:hAnsi="Lato" w:cs="Times New Roman"/>
                <w:color w:val="333333"/>
                <w:kern w:val="0"/>
                <w:sz w:val="24"/>
                <w:szCs w:val="24"/>
                <w:lang w:eastAsia="en-AU"/>
                <w14:ligatures w14:val="none"/>
              </w:rPr>
              <w:t>as a consequence of</w:t>
            </w:r>
            <w:proofErr w:type="gramEnd"/>
            <w:r w:rsidRPr="002E1409">
              <w:rPr>
                <w:rFonts w:ascii="Lato" w:eastAsia="Times New Roman" w:hAnsi="Lato" w:cs="Times New Roman"/>
                <w:color w:val="333333"/>
                <w:kern w:val="0"/>
                <w:sz w:val="24"/>
                <w:szCs w:val="24"/>
                <w:lang w:eastAsia="en-AU"/>
                <w14:ligatures w14:val="none"/>
              </w:rPr>
              <w:t xml:space="preserve"> such reviews.</w:t>
            </w:r>
          </w:p>
        </w:tc>
      </w:tr>
      <w:tr w:rsidR="002E1409" w:rsidRPr="002E1409" w14:paraId="4E0987EA" w14:textId="77777777" w:rsidTr="002E1409">
        <w:trPr>
          <w:trHeight w:val="855"/>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6D434A22"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lastRenderedPageBreak/>
              <w:t>Recovery of money/property lost through fraud</w:t>
            </w:r>
            <w:r w:rsidRPr="002E1409">
              <w:rPr>
                <w:rFonts w:ascii="Lato" w:eastAsia="Times New Roman" w:hAnsi="Lato" w:cs="Times New Roman"/>
                <w:color w:val="333333"/>
                <w:kern w:val="0"/>
                <w:sz w:val="24"/>
                <w:szCs w:val="24"/>
                <w:lang w:eastAsia="en-AU"/>
                <w14:ligatures w14:val="none"/>
              </w:rPr>
              <w:br/>
              <w:t> </w:t>
            </w:r>
            <w:r w:rsidRPr="002E1409">
              <w:rPr>
                <w:rFonts w:ascii="Lato" w:eastAsia="Times New Roman" w:hAnsi="Lato" w:cs="Times New Roman"/>
                <w:color w:val="333333"/>
                <w:kern w:val="0"/>
                <w:sz w:val="24"/>
                <w:szCs w:val="24"/>
                <w:lang w:eastAsia="en-AU"/>
                <w14:ligatures w14:val="none"/>
              </w:rPr>
              <w:br/>
              <w:t> </w:t>
            </w:r>
            <w:r w:rsidRPr="002E1409">
              <w:rPr>
                <w:rFonts w:ascii="Lato" w:eastAsia="Times New Roman" w:hAnsi="Lato" w:cs="Times New Roman"/>
                <w:color w:val="333333"/>
                <w:kern w:val="0"/>
                <w:sz w:val="24"/>
                <w:szCs w:val="24"/>
                <w:lang w:eastAsia="en-AU"/>
                <w14:ligatures w14:val="none"/>
              </w:rPr>
              <w:br/>
              <w:t> </w:t>
            </w:r>
            <w:r w:rsidRPr="002E1409">
              <w:rPr>
                <w:rFonts w:ascii="Lato" w:eastAsia="Times New Roman" w:hAnsi="Lato" w:cs="Times New Roman"/>
                <w:color w:val="333333"/>
                <w:kern w:val="0"/>
                <w:sz w:val="24"/>
                <w:szCs w:val="24"/>
                <w:lang w:eastAsia="en-AU"/>
                <w14:ligatures w14:val="none"/>
              </w:rPr>
              <w:b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97FFC94" w14:textId="77777777" w:rsidR="002E1409" w:rsidRPr="002E1409" w:rsidRDefault="002E1409" w:rsidP="002E1409">
            <w:pPr>
              <w:numPr>
                <w:ilvl w:val="0"/>
                <w:numId w:val="11"/>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University may pursue the recovery of any money/property lost through fraud.</w:t>
            </w:r>
          </w:p>
        </w:tc>
      </w:tr>
      <w:tr w:rsidR="002E1409" w:rsidRPr="002E1409" w14:paraId="220F59A2" w14:textId="77777777" w:rsidTr="002E1409">
        <w:trPr>
          <w:trHeight w:val="435"/>
        </w:trPr>
        <w:tc>
          <w:tcPr>
            <w:tcW w:w="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EB00727"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b/>
                <w:bCs/>
                <w:color w:val="029DDD"/>
                <w:kern w:val="0"/>
                <w:sz w:val="24"/>
                <w:szCs w:val="24"/>
                <w:lang w:eastAsia="en-AU"/>
                <w14:ligatures w14:val="none"/>
              </w:rPr>
              <w:t>Recording and Reporting</w:t>
            </w:r>
          </w:p>
        </w:tc>
      </w:tr>
      <w:tr w:rsidR="002E1409" w:rsidRPr="002E1409" w14:paraId="34A8AA19" w14:textId="77777777" w:rsidTr="002E1409">
        <w:trPr>
          <w:trHeight w:val="69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1EE55FF"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Reporting incidences of fraud</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6F65EFAD" w14:textId="77777777" w:rsidR="002E1409" w:rsidRPr="002E1409" w:rsidRDefault="002E1409" w:rsidP="002E1409">
            <w:pPr>
              <w:numPr>
                <w:ilvl w:val="0"/>
                <w:numId w:val="12"/>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All incidences of suspected fraud are to be reported to a Public Interest Disclosure Officer or reported through the </w:t>
            </w:r>
            <w:hyperlink r:id="rId6" w:tgtFrame="_blank" w:history="1">
              <w:r w:rsidRPr="002E1409">
                <w:rPr>
                  <w:rFonts w:ascii="Lato" w:eastAsia="Times New Roman" w:hAnsi="Lato" w:cs="Times New Roman"/>
                  <w:color w:val="0000FF"/>
                  <w:kern w:val="0"/>
                  <w:sz w:val="24"/>
                  <w:szCs w:val="24"/>
                  <w:u w:val="single"/>
                  <w:lang w:eastAsia="en-AU"/>
                  <w14:ligatures w14:val="none"/>
                </w:rPr>
                <w:t>Health and Safety Online Rep</w:t>
              </w:r>
              <w:r w:rsidRPr="002E1409">
                <w:rPr>
                  <w:rFonts w:ascii="Lato" w:eastAsia="Times New Roman" w:hAnsi="Lato" w:cs="Times New Roman"/>
                  <w:color w:val="0000FF"/>
                  <w:kern w:val="0"/>
                  <w:sz w:val="24"/>
                  <w:szCs w:val="24"/>
                  <w:u w:val="single"/>
                  <w:lang w:eastAsia="en-AU"/>
                  <w14:ligatures w14:val="none"/>
                </w:rPr>
                <w:t>o</w:t>
              </w:r>
              <w:r w:rsidRPr="002E1409">
                <w:rPr>
                  <w:rFonts w:ascii="Lato" w:eastAsia="Times New Roman" w:hAnsi="Lato" w:cs="Times New Roman"/>
                  <w:color w:val="0000FF"/>
                  <w:kern w:val="0"/>
                  <w:sz w:val="24"/>
                  <w:szCs w:val="24"/>
                  <w:u w:val="single"/>
                  <w:lang w:eastAsia="en-AU"/>
                  <w14:ligatures w14:val="none"/>
                </w:rPr>
                <w:t>rt Form</w:t>
              </w:r>
            </w:hyperlink>
            <w:r w:rsidRPr="002E1409">
              <w:rPr>
                <w:rFonts w:ascii="Lato" w:eastAsia="Times New Roman" w:hAnsi="Lato" w:cs="Times New Roman"/>
                <w:color w:val="333333"/>
                <w:kern w:val="0"/>
                <w:sz w:val="24"/>
                <w:szCs w:val="24"/>
                <w:lang w:eastAsia="en-AU"/>
                <w14:ligatures w14:val="none"/>
              </w:rPr>
              <w:t>.</w:t>
            </w:r>
          </w:p>
        </w:tc>
      </w:tr>
      <w:tr w:rsidR="002E1409" w:rsidRPr="002E1409" w14:paraId="10AC6832" w14:textId="77777777" w:rsidTr="002E1409">
        <w:trPr>
          <w:trHeight w:val="156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5924A70"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Maintain a management reporting regime</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183E7DDC"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This will be undertaken predominately by the Associate Director, Risk and Audit and include:</w:t>
            </w:r>
          </w:p>
          <w:p w14:paraId="306F2C3A" w14:textId="77777777" w:rsidR="002E1409" w:rsidRPr="002E1409" w:rsidRDefault="002E1409" w:rsidP="002E1409">
            <w:pPr>
              <w:numPr>
                <w:ilvl w:val="0"/>
                <w:numId w:val="1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establishing and maintaining the Fraud Incident Register; and</w:t>
            </w:r>
          </w:p>
          <w:p w14:paraId="3400759A" w14:textId="77777777" w:rsidR="002E1409" w:rsidRPr="002E1409" w:rsidRDefault="002E1409" w:rsidP="002E1409">
            <w:pPr>
              <w:numPr>
                <w:ilvl w:val="0"/>
                <w:numId w:val="13"/>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ongoing collecting, monitoring, and reporting of investigation data to management as appropriate.</w:t>
            </w:r>
          </w:p>
        </w:tc>
      </w:tr>
      <w:tr w:rsidR="002E1409" w:rsidRPr="002E1409" w14:paraId="7987DBAE" w14:textId="77777777" w:rsidTr="002E1409">
        <w:trPr>
          <w:trHeight w:val="975"/>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4125F213"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Provision of information to the police</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67C4874F" w14:textId="32BEF985" w:rsidR="002E1409" w:rsidRPr="002E1409" w:rsidRDefault="002E1409" w:rsidP="002E1409">
            <w:pPr>
              <w:numPr>
                <w:ilvl w:val="0"/>
                <w:numId w:val="14"/>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General Counsel will ensure that the police receive complete and relevant information relating to prima facie cases of fraud, where referrals to law enforcement are made.</w:t>
            </w:r>
          </w:p>
        </w:tc>
      </w:tr>
      <w:tr w:rsidR="002E1409" w:rsidRPr="002E1409" w14:paraId="51FAFC3A" w14:textId="77777777" w:rsidTr="002E1409">
        <w:trPr>
          <w:trHeight w:val="840"/>
        </w:trPr>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6C039752" w14:textId="77777777" w:rsidR="002E1409" w:rsidRPr="002E1409" w:rsidRDefault="002E1409" w:rsidP="002E1409">
            <w:pPr>
              <w:spacing w:after="0" w:line="240" w:lineRule="auto"/>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Annual reporting</w:t>
            </w:r>
          </w:p>
        </w:tc>
        <w:tc>
          <w:tcPr>
            <w:tcW w:w="6" w:type="dxa"/>
            <w:tcBorders>
              <w:top w:val="single" w:sz="6" w:space="0" w:color="000000"/>
              <w:left w:val="single" w:sz="6" w:space="0" w:color="000000"/>
              <w:bottom w:val="single" w:sz="6" w:space="0" w:color="000000"/>
              <w:right w:val="single" w:sz="6" w:space="0" w:color="000000"/>
            </w:tcBorders>
            <w:shd w:val="clear" w:color="auto" w:fill="FFFFFF"/>
            <w:hideMark/>
          </w:tcPr>
          <w:p w14:paraId="60D12165" w14:textId="77777777" w:rsidR="002E1409" w:rsidRPr="002E1409" w:rsidRDefault="002E1409" w:rsidP="002E1409">
            <w:pPr>
              <w:numPr>
                <w:ilvl w:val="0"/>
                <w:numId w:val="15"/>
              </w:numPr>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2E1409">
              <w:rPr>
                <w:rFonts w:ascii="Lato" w:eastAsia="Times New Roman" w:hAnsi="Lato" w:cs="Times New Roman"/>
                <w:color w:val="333333"/>
                <w:kern w:val="0"/>
                <w:sz w:val="24"/>
                <w:szCs w:val="24"/>
                <w:lang w:eastAsia="en-AU"/>
                <w14:ligatures w14:val="none"/>
              </w:rPr>
              <w:t>The University will meet fraud-reporting obligations in its Annual Report in accordance with relevant legislation and codes including the PID Act.</w:t>
            </w:r>
          </w:p>
        </w:tc>
      </w:tr>
    </w:tbl>
    <w:p w14:paraId="2D830BDF" w14:textId="77777777" w:rsidR="002E1409" w:rsidRPr="002E1409" w:rsidRDefault="002E1409" w:rsidP="002E1409"/>
    <w:p w14:paraId="0598DC17" w14:textId="77777777" w:rsidR="002E1409" w:rsidRPr="002E1409" w:rsidRDefault="002E1409" w:rsidP="002E1409"/>
    <w:p w14:paraId="43769B13" w14:textId="77777777" w:rsidR="002E1409" w:rsidRPr="002E1409" w:rsidRDefault="002E1409" w:rsidP="002E1409">
      <w:pPr>
        <w:tabs>
          <w:tab w:val="left" w:pos="2880"/>
        </w:tabs>
      </w:pPr>
    </w:p>
    <w:sectPr w:rsidR="002E1409" w:rsidRPr="002E1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FD1"/>
    <w:multiLevelType w:val="multilevel"/>
    <w:tmpl w:val="5AF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73CB7"/>
    <w:multiLevelType w:val="multilevel"/>
    <w:tmpl w:val="F49E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D7E65"/>
    <w:multiLevelType w:val="multilevel"/>
    <w:tmpl w:val="9B7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34782"/>
    <w:multiLevelType w:val="multilevel"/>
    <w:tmpl w:val="07C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B1629"/>
    <w:multiLevelType w:val="multilevel"/>
    <w:tmpl w:val="922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171EA"/>
    <w:multiLevelType w:val="multilevel"/>
    <w:tmpl w:val="E01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E3457"/>
    <w:multiLevelType w:val="multilevel"/>
    <w:tmpl w:val="500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E47AC"/>
    <w:multiLevelType w:val="multilevel"/>
    <w:tmpl w:val="C0F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D0BFB"/>
    <w:multiLevelType w:val="multilevel"/>
    <w:tmpl w:val="85A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55CFD"/>
    <w:multiLevelType w:val="multilevel"/>
    <w:tmpl w:val="4C5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B7A8E"/>
    <w:multiLevelType w:val="multilevel"/>
    <w:tmpl w:val="C7A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C307F"/>
    <w:multiLevelType w:val="multilevel"/>
    <w:tmpl w:val="789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B6BB2"/>
    <w:multiLevelType w:val="multilevel"/>
    <w:tmpl w:val="A07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97434"/>
    <w:multiLevelType w:val="multilevel"/>
    <w:tmpl w:val="7CC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84390"/>
    <w:multiLevelType w:val="multilevel"/>
    <w:tmpl w:val="5CD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142522">
    <w:abstractNumId w:val="10"/>
  </w:num>
  <w:num w:numId="2" w16cid:durableId="81341501">
    <w:abstractNumId w:val="0"/>
  </w:num>
  <w:num w:numId="3" w16cid:durableId="1657105062">
    <w:abstractNumId w:val="12"/>
  </w:num>
  <w:num w:numId="4" w16cid:durableId="549151939">
    <w:abstractNumId w:val="8"/>
  </w:num>
  <w:num w:numId="5" w16cid:durableId="1804737384">
    <w:abstractNumId w:val="14"/>
  </w:num>
  <w:num w:numId="6" w16cid:durableId="157623816">
    <w:abstractNumId w:val="1"/>
  </w:num>
  <w:num w:numId="7" w16cid:durableId="815679598">
    <w:abstractNumId w:val="11"/>
  </w:num>
  <w:num w:numId="8" w16cid:durableId="1446198472">
    <w:abstractNumId w:val="5"/>
  </w:num>
  <w:num w:numId="9" w16cid:durableId="1934581548">
    <w:abstractNumId w:val="4"/>
  </w:num>
  <w:num w:numId="10" w16cid:durableId="1446921747">
    <w:abstractNumId w:val="9"/>
  </w:num>
  <w:num w:numId="11" w16cid:durableId="2112625380">
    <w:abstractNumId w:val="6"/>
  </w:num>
  <w:num w:numId="12" w16cid:durableId="1688556809">
    <w:abstractNumId w:val="13"/>
  </w:num>
  <w:num w:numId="13" w16cid:durableId="1897933051">
    <w:abstractNumId w:val="3"/>
  </w:num>
  <w:num w:numId="14" w16cid:durableId="1289974920">
    <w:abstractNumId w:val="7"/>
  </w:num>
  <w:num w:numId="15" w16cid:durableId="121944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09"/>
    <w:rsid w:val="000E36D3"/>
    <w:rsid w:val="002822E5"/>
    <w:rsid w:val="002E1409"/>
    <w:rsid w:val="004A5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F14"/>
  <w15:chartTrackingRefBased/>
  <w15:docId w15:val="{1EAA61D2-F131-4C22-8D56-432E704E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1409"/>
    <w:rPr>
      <w:b/>
      <w:bCs/>
    </w:rPr>
  </w:style>
  <w:style w:type="character" w:styleId="Emphasis">
    <w:name w:val="Emphasis"/>
    <w:basedOn w:val="DefaultParagraphFont"/>
    <w:uiPriority w:val="20"/>
    <w:qFormat/>
    <w:rsid w:val="002E1409"/>
    <w:rPr>
      <w:i/>
      <w:iCs/>
    </w:rPr>
  </w:style>
  <w:style w:type="character" w:styleId="Hyperlink">
    <w:name w:val="Hyperlink"/>
    <w:basedOn w:val="DefaultParagraphFont"/>
    <w:uiPriority w:val="99"/>
    <w:unhideWhenUsed/>
    <w:rsid w:val="002E1409"/>
    <w:rPr>
      <w:color w:val="0000FF"/>
      <w:u w:val="single"/>
    </w:rPr>
  </w:style>
  <w:style w:type="character" w:styleId="UnresolvedMention">
    <w:name w:val="Unresolved Mention"/>
    <w:basedOn w:val="DefaultParagraphFont"/>
    <w:uiPriority w:val="99"/>
    <w:semiHidden/>
    <w:unhideWhenUsed/>
    <w:rsid w:val="000E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viva.canberra.edu.au/Apps/IncidentManagement/otherincidentquestionaire" TargetMode="External"/><Relationship Id="rId5" Type="http://schemas.openxmlformats.org/officeDocument/2006/relationships/hyperlink" Target="https://www.legislation.act.gov.au/a/2012-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838</Words>
  <Characters>4781</Characters>
  <Application>Microsoft Office Word</Application>
  <DocSecurity>0</DocSecurity>
  <Lines>39</Lines>
  <Paragraphs>11</Paragraphs>
  <ScaleCrop>false</ScaleCrop>
  <Company>University of Canberra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Jerrin.Mathew Koshy</dc:creator>
  <cp:keywords/>
  <dc:description/>
  <cp:lastModifiedBy>Jerrin.Mathew Koshy</cp:lastModifiedBy>
  <cp:revision>2</cp:revision>
  <dcterms:created xsi:type="dcterms:W3CDTF">2023-10-09T05:28:00Z</dcterms:created>
  <dcterms:modified xsi:type="dcterms:W3CDTF">2023-10-09T05:44:00Z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2023-10-09T05:30:55Z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680c87ac-0ddd-43d3-ad6a-cc8e33b7a2ec</vt:lpwstr>
  </property>
  <property fmtid="{D5CDD505-2E9C-101B-9397-08002B2CF9AE}" pid="8" name="MSIP_Label_bf6fef03-d487-4433-8e43-6b81c0a1b7be_ContentBits">
    <vt:lpwstr>0</vt:lpwstr>
  </property>
</Properties>
</file>