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3103" w14:textId="77777777" w:rsidR="00264CBB" w:rsidRPr="00A11803" w:rsidRDefault="00264CBB" w:rsidP="00A11803"/>
    <w:p w14:paraId="0BF2F0A6" w14:textId="77777777" w:rsidR="00264CBB" w:rsidRPr="00A11803" w:rsidRDefault="00264CBB" w:rsidP="00A11803"/>
    <w:p w14:paraId="0206B865" w14:textId="77777777" w:rsidR="00264CBB" w:rsidRPr="00A11803" w:rsidRDefault="00264CBB" w:rsidP="00A11803"/>
    <w:p w14:paraId="56DCB4FC" w14:textId="77777777" w:rsidR="00264CBB" w:rsidRPr="00A11803" w:rsidRDefault="00264CBB" w:rsidP="00A11803"/>
    <w:p w14:paraId="6C180D86" w14:textId="77777777" w:rsidR="00E34488" w:rsidRPr="00A11803" w:rsidRDefault="000243B0" w:rsidP="00853EAD">
      <w:pPr>
        <w:pStyle w:val="Heading1"/>
      </w:pPr>
      <w:r>
        <w:rPr>
          <w:noProof/>
        </w:rPr>
        <w:drawing>
          <wp:inline distT="0" distB="0" distL="0" distR="0" wp14:anchorId="39F180EB" wp14:editId="00EB8C45">
            <wp:extent cx="1706880" cy="1104900"/>
            <wp:effectExtent l="0" t="0" r="7620" b="0"/>
            <wp:docPr id="1" name="Picture 1" descr="Departme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a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880" cy="1104900"/>
                    </a:xfrm>
                    <a:prstGeom prst="rect">
                      <a:avLst/>
                    </a:prstGeom>
                    <a:noFill/>
                    <a:ln>
                      <a:noFill/>
                    </a:ln>
                  </pic:spPr>
                </pic:pic>
              </a:graphicData>
            </a:graphic>
          </wp:inline>
        </w:drawing>
      </w:r>
    </w:p>
    <w:p w14:paraId="71CBC6B0" w14:textId="77777777" w:rsidR="00E34488" w:rsidRPr="00A11803" w:rsidRDefault="00E34488" w:rsidP="00A11803"/>
    <w:p w14:paraId="31923544" w14:textId="77777777" w:rsidR="00E34488" w:rsidRPr="00A11803" w:rsidRDefault="00E34488" w:rsidP="00A11803"/>
    <w:p w14:paraId="511237C3" w14:textId="77777777" w:rsidR="00E34488" w:rsidRPr="00A11803" w:rsidRDefault="00E34488" w:rsidP="00A11803"/>
    <w:p w14:paraId="42F2074F" w14:textId="77777777" w:rsidR="00E34488" w:rsidRPr="00A11803" w:rsidRDefault="00E34488" w:rsidP="00A11803"/>
    <w:p w14:paraId="5A0F48E0" w14:textId="77777777" w:rsidR="00E34488" w:rsidRPr="00A11803" w:rsidRDefault="00E34488" w:rsidP="00A11803"/>
    <w:p w14:paraId="176B97CA" w14:textId="77777777" w:rsidR="00264CBB" w:rsidRPr="00A11803" w:rsidRDefault="00264CBB" w:rsidP="00A11803">
      <w:pPr>
        <w:pStyle w:val="Heading1"/>
      </w:pPr>
      <w:bookmarkStart w:id="0" w:name="OLE_LINK3"/>
      <w:bookmarkStart w:id="1" w:name="OLE_LINK4"/>
      <w:r w:rsidRPr="00A11803">
        <w:t>Principles for Joint Higher Degrees by Research</w:t>
      </w:r>
    </w:p>
    <w:p w14:paraId="15AACEC4" w14:textId="77777777" w:rsidR="00264CBB" w:rsidRPr="00A11803" w:rsidRDefault="00264CBB" w:rsidP="00A11803">
      <w:pPr>
        <w:pStyle w:val="Heading1"/>
      </w:pPr>
    </w:p>
    <w:p w14:paraId="54CAF963" w14:textId="77777777" w:rsidR="00264CBB" w:rsidRPr="00A11803" w:rsidRDefault="00264CBB" w:rsidP="00A11803">
      <w:pPr>
        <w:pStyle w:val="Heading1"/>
      </w:pPr>
      <w:r w:rsidRPr="00A11803">
        <w:t>Between</w:t>
      </w:r>
    </w:p>
    <w:p w14:paraId="09CE300C" w14:textId="77777777" w:rsidR="00264CBB" w:rsidRPr="00A11803" w:rsidRDefault="00264CBB" w:rsidP="00A11803">
      <w:pPr>
        <w:pStyle w:val="Heading1"/>
      </w:pPr>
    </w:p>
    <w:p w14:paraId="4615F11C" w14:textId="77777777" w:rsidR="00264CBB" w:rsidRPr="00A11803" w:rsidRDefault="00264CBB" w:rsidP="00A11803">
      <w:pPr>
        <w:pStyle w:val="Heading1"/>
      </w:pPr>
      <w:r w:rsidRPr="00A11803">
        <w:t>Australian Higher Education Providers</w:t>
      </w:r>
    </w:p>
    <w:bookmarkEnd w:id="0"/>
    <w:bookmarkEnd w:id="1"/>
    <w:p w14:paraId="52CF9437" w14:textId="77777777" w:rsidR="00264CBB" w:rsidRPr="00A11803" w:rsidRDefault="00264CBB" w:rsidP="00A11803">
      <w:pPr>
        <w:pStyle w:val="Heading1"/>
      </w:pPr>
    </w:p>
    <w:p w14:paraId="0075E20B" w14:textId="77777777" w:rsidR="00264CBB" w:rsidRPr="00A11803" w:rsidRDefault="00B75583" w:rsidP="00A11803">
      <w:pPr>
        <w:pStyle w:val="Heading1"/>
      </w:pPr>
      <w:r w:rsidRPr="00A11803">
        <w:t xml:space="preserve">May </w:t>
      </w:r>
      <w:r w:rsidR="00264CBB" w:rsidRPr="00A11803">
        <w:t>2011</w:t>
      </w:r>
    </w:p>
    <w:p w14:paraId="456D6E3A" w14:textId="77777777" w:rsidR="00F74007" w:rsidRPr="00A11803" w:rsidRDefault="00F74007" w:rsidP="00A11803"/>
    <w:p w14:paraId="122A83B0" w14:textId="77777777" w:rsidR="00F74007" w:rsidRPr="00A11803" w:rsidRDefault="00F74007" w:rsidP="00A11803">
      <w:pPr>
        <w:pStyle w:val="TOC10"/>
      </w:pPr>
      <w:r w:rsidRPr="00A11803">
        <w:br w:type="page"/>
        <w:t>Table of Contents</w:t>
      </w:r>
    </w:p>
    <w:p w14:paraId="040AA300" w14:textId="77777777" w:rsidR="00991F47" w:rsidRPr="00CF7EA1" w:rsidRDefault="00991F47" w:rsidP="00CF7EA1">
      <w:pPr>
        <w:pStyle w:val="TOC1"/>
        <w:tabs>
          <w:tab w:val="left" w:pos="480"/>
          <w:tab w:val="right" w:pos="8296"/>
        </w:tabs>
        <w:outlineLvl w:val="0"/>
        <w:rPr>
          <w:rStyle w:val="Hyperlink"/>
          <w:rFonts w:ascii="Calibri" w:hAnsi="Calibri" w:cs="Arial"/>
          <w:noProof/>
        </w:rPr>
      </w:pPr>
      <w:r w:rsidRPr="00A11803">
        <w:fldChar w:fldCharType="begin"/>
      </w:r>
      <w:r w:rsidRPr="00A11803">
        <w:instrText xml:space="preserve"> TOC \o "1-1" \h \z \u </w:instrText>
      </w:r>
      <w:r w:rsidRPr="00A11803">
        <w:fldChar w:fldCharType="separate"/>
      </w:r>
    </w:p>
    <w:p w14:paraId="271BE2FC" w14:textId="77777777" w:rsidR="00A11803" w:rsidRPr="00CF7EA1" w:rsidRDefault="00C967B6" w:rsidP="00CF7EA1">
      <w:pPr>
        <w:pStyle w:val="TOC1"/>
        <w:tabs>
          <w:tab w:val="left" w:pos="480"/>
          <w:tab w:val="right" w:pos="8296"/>
        </w:tabs>
        <w:outlineLvl w:val="0"/>
        <w:rPr>
          <w:rStyle w:val="Hyperlink"/>
          <w:rFonts w:ascii="Calibri" w:hAnsi="Calibri" w:cs="Arial"/>
          <w:noProof/>
        </w:rPr>
      </w:pPr>
      <w:hyperlink w:anchor="_Toc288208165" w:history="1">
        <w:bookmarkStart w:id="2" w:name="_Toc288208657"/>
        <w:r w:rsidR="00991F47" w:rsidRPr="00CF7EA1">
          <w:rPr>
            <w:rStyle w:val="Hyperlink"/>
            <w:rFonts w:ascii="Calibri" w:hAnsi="Calibri" w:cs="Arial"/>
            <w:noProof/>
          </w:rPr>
          <w:t>1.</w:t>
        </w:r>
        <w:r w:rsidR="00991F47" w:rsidRPr="00CF7EA1">
          <w:rPr>
            <w:rStyle w:val="Hyperlink"/>
            <w:rFonts w:ascii="Calibri" w:hAnsi="Calibri" w:cs="Arial"/>
            <w:noProof/>
          </w:rPr>
          <w:tab/>
        </w:r>
        <w:r w:rsidR="00CF7EA1" w:rsidRPr="00CF7EA1">
          <w:rPr>
            <w:rStyle w:val="Hyperlink"/>
            <w:rFonts w:ascii="Calibri" w:hAnsi="Calibri" w:cs="Arial"/>
            <w:noProof/>
          </w:rPr>
          <w:t>INTRODUCTION</w:t>
        </w:r>
        <w:r w:rsidR="00991F47" w:rsidRPr="00CF7EA1">
          <w:rPr>
            <w:rStyle w:val="Hyperlink"/>
            <w:rFonts w:ascii="Calibri" w:hAnsi="Calibri" w:cs="Arial"/>
            <w:noProof/>
            <w:webHidden/>
          </w:rPr>
          <w:tab/>
        </w:r>
        <w:r w:rsidR="00991F47" w:rsidRPr="00CF7EA1">
          <w:rPr>
            <w:rStyle w:val="Hyperlink"/>
            <w:rFonts w:ascii="Calibri" w:hAnsi="Calibri" w:cs="Arial"/>
            <w:noProof/>
            <w:webHidden/>
          </w:rPr>
          <w:fldChar w:fldCharType="begin"/>
        </w:r>
        <w:r w:rsidR="00991F47" w:rsidRPr="00CF7EA1">
          <w:rPr>
            <w:rStyle w:val="Hyperlink"/>
            <w:rFonts w:ascii="Calibri" w:hAnsi="Calibri" w:cs="Arial"/>
            <w:noProof/>
            <w:webHidden/>
          </w:rPr>
          <w:instrText xml:space="preserve"> PAGEREF _Toc288208165 \h </w:instrText>
        </w:r>
        <w:r w:rsidR="00991F47" w:rsidRPr="00CF7EA1">
          <w:rPr>
            <w:rStyle w:val="Hyperlink"/>
            <w:rFonts w:ascii="Calibri" w:hAnsi="Calibri" w:cs="Arial"/>
            <w:noProof/>
            <w:webHidden/>
          </w:rPr>
        </w:r>
        <w:r w:rsidR="00991F47" w:rsidRPr="00CF7EA1">
          <w:rPr>
            <w:rStyle w:val="Hyperlink"/>
            <w:rFonts w:ascii="Calibri" w:hAnsi="Calibri" w:cs="Arial"/>
            <w:noProof/>
            <w:webHidden/>
          </w:rPr>
          <w:fldChar w:fldCharType="separate"/>
        </w:r>
        <w:r w:rsidR="0027490D">
          <w:rPr>
            <w:rStyle w:val="Hyperlink"/>
            <w:rFonts w:ascii="Calibri" w:hAnsi="Calibri" w:cs="Arial"/>
            <w:noProof/>
            <w:webHidden/>
          </w:rPr>
          <w:t>3</w:t>
        </w:r>
        <w:bookmarkEnd w:id="2"/>
        <w:r w:rsidR="00991F47" w:rsidRPr="00CF7EA1">
          <w:rPr>
            <w:rStyle w:val="Hyperlink"/>
            <w:rFonts w:ascii="Calibri" w:hAnsi="Calibri" w:cs="Arial"/>
            <w:noProof/>
            <w:webHidden/>
          </w:rPr>
          <w:fldChar w:fldCharType="end"/>
        </w:r>
      </w:hyperlink>
    </w:p>
    <w:p w14:paraId="73DFA8EC" w14:textId="77777777" w:rsidR="00A11803" w:rsidRPr="00CF7EA1" w:rsidRDefault="00C967B6" w:rsidP="00CF7EA1">
      <w:pPr>
        <w:pStyle w:val="TOC1"/>
        <w:tabs>
          <w:tab w:val="left" w:pos="480"/>
          <w:tab w:val="right" w:pos="8296"/>
        </w:tabs>
        <w:outlineLvl w:val="0"/>
        <w:rPr>
          <w:rStyle w:val="Hyperlink"/>
          <w:rFonts w:ascii="Calibri" w:hAnsi="Calibri" w:cs="Arial"/>
          <w:noProof/>
        </w:rPr>
      </w:pPr>
      <w:hyperlink w:anchor="_Toc288208166" w:history="1">
        <w:bookmarkStart w:id="3" w:name="_Toc288208658"/>
        <w:r w:rsidR="00991F47" w:rsidRPr="00CF7EA1">
          <w:rPr>
            <w:rStyle w:val="Hyperlink"/>
            <w:rFonts w:ascii="Calibri" w:hAnsi="Calibri" w:cs="Arial"/>
            <w:noProof/>
          </w:rPr>
          <w:t>2.</w:t>
        </w:r>
        <w:r w:rsidR="00991F47" w:rsidRPr="00CF7EA1">
          <w:rPr>
            <w:rStyle w:val="Hyperlink"/>
            <w:rFonts w:ascii="Calibri" w:hAnsi="Calibri" w:cs="Arial"/>
            <w:noProof/>
          </w:rPr>
          <w:tab/>
        </w:r>
        <w:r w:rsidR="00CF7EA1" w:rsidRPr="00CF7EA1">
          <w:rPr>
            <w:rStyle w:val="Hyperlink"/>
            <w:rFonts w:ascii="Calibri" w:hAnsi="Calibri" w:cs="Arial"/>
            <w:noProof/>
          </w:rPr>
          <w:t>OBJECTIVES</w:t>
        </w:r>
        <w:r w:rsidR="00991F47" w:rsidRPr="00CF7EA1">
          <w:rPr>
            <w:rStyle w:val="Hyperlink"/>
            <w:rFonts w:ascii="Calibri" w:hAnsi="Calibri" w:cs="Arial"/>
            <w:noProof/>
            <w:webHidden/>
          </w:rPr>
          <w:tab/>
        </w:r>
        <w:r w:rsidR="00991F47" w:rsidRPr="00CF7EA1">
          <w:rPr>
            <w:rStyle w:val="Hyperlink"/>
            <w:rFonts w:ascii="Calibri" w:hAnsi="Calibri" w:cs="Arial"/>
            <w:noProof/>
            <w:webHidden/>
          </w:rPr>
          <w:fldChar w:fldCharType="begin"/>
        </w:r>
        <w:r w:rsidR="00991F47" w:rsidRPr="00CF7EA1">
          <w:rPr>
            <w:rStyle w:val="Hyperlink"/>
            <w:rFonts w:ascii="Calibri" w:hAnsi="Calibri" w:cs="Arial"/>
            <w:noProof/>
            <w:webHidden/>
          </w:rPr>
          <w:instrText xml:space="preserve"> PAGEREF _Toc288208166 \h </w:instrText>
        </w:r>
        <w:r w:rsidR="00991F47" w:rsidRPr="00CF7EA1">
          <w:rPr>
            <w:rStyle w:val="Hyperlink"/>
            <w:rFonts w:ascii="Calibri" w:hAnsi="Calibri" w:cs="Arial"/>
            <w:noProof/>
            <w:webHidden/>
          </w:rPr>
        </w:r>
        <w:r w:rsidR="00991F47" w:rsidRPr="00CF7EA1">
          <w:rPr>
            <w:rStyle w:val="Hyperlink"/>
            <w:rFonts w:ascii="Calibri" w:hAnsi="Calibri" w:cs="Arial"/>
            <w:noProof/>
            <w:webHidden/>
          </w:rPr>
          <w:fldChar w:fldCharType="separate"/>
        </w:r>
        <w:r w:rsidR="0027490D">
          <w:rPr>
            <w:rStyle w:val="Hyperlink"/>
            <w:rFonts w:ascii="Calibri" w:hAnsi="Calibri" w:cs="Arial"/>
            <w:noProof/>
            <w:webHidden/>
          </w:rPr>
          <w:t>3</w:t>
        </w:r>
        <w:bookmarkEnd w:id="3"/>
        <w:r w:rsidR="00991F47" w:rsidRPr="00CF7EA1">
          <w:rPr>
            <w:rStyle w:val="Hyperlink"/>
            <w:rFonts w:ascii="Calibri" w:hAnsi="Calibri" w:cs="Arial"/>
            <w:noProof/>
            <w:webHidden/>
          </w:rPr>
          <w:fldChar w:fldCharType="end"/>
        </w:r>
      </w:hyperlink>
    </w:p>
    <w:p w14:paraId="66605B98" w14:textId="77777777" w:rsidR="00A11803" w:rsidRPr="00CF7EA1" w:rsidRDefault="00C967B6" w:rsidP="00CF7EA1">
      <w:pPr>
        <w:pStyle w:val="TOC1"/>
        <w:tabs>
          <w:tab w:val="left" w:pos="480"/>
          <w:tab w:val="right" w:pos="8296"/>
        </w:tabs>
        <w:outlineLvl w:val="0"/>
        <w:rPr>
          <w:rStyle w:val="Hyperlink"/>
          <w:rFonts w:ascii="Calibri" w:hAnsi="Calibri" w:cs="Arial"/>
          <w:noProof/>
        </w:rPr>
      </w:pPr>
      <w:hyperlink w:anchor="_Toc288208167" w:history="1">
        <w:bookmarkStart w:id="4" w:name="_Toc288208659"/>
        <w:r w:rsidR="00991F47" w:rsidRPr="00CF7EA1">
          <w:rPr>
            <w:rStyle w:val="Hyperlink"/>
            <w:rFonts w:ascii="Calibri" w:hAnsi="Calibri" w:cs="Arial"/>
            <w:noProof/>
          </w:rPr>
          <w:t>3.</w:t>
        </w:r>
        <w:r w:rsidR="00991F47" w:rsidRPr="00CF7EA1">
          <w:rPr>
            <w:rStyle w:val="Hyperlink"/>
            <w:rFonts w:ascii="Calibri" w:hAnsi="Calibri" w:cs="Arial"/>
            <w:noProof/>
          </w:rPr>
          <w:tab/>
        </w:r>
        <w:r w:rsidR="00CF7EA1" w:rsidRPr="00CF7EA1">
          <w:rPr>
            <w:rStyle w:val="Hyperlink"/>
            <w:rFonts w:ascii="Calibri" w:hAnsi="Calibri" w:cs="Arial"/>
            <w:noProof/>
          </w:rPr>
          <w:t>DEFINITIONS AND SCOPE</w:t>
        </w:r>
        <w:r w:rsidR="00991F47" w:rsidRPr="00CF7EA1">
          <w:rPr>
            <w:rStyle w:val="Hyperlink"/>
            <w:rFonts w:ascii="Calibri" w:hAnsi="Calibri" w:cs="Arial"/>
            <w:noProof/>
            <w:webHidden/>
          </w:rPr>
          <w:tab/>
        </w:r>
        <w:r w:rsidR="00991F47" w:rsidRPr="00CF7EA1">
          <w:rPr>
            <w:rStyle w:val="Hyperlink"/>
            <w:rFonts w:ascii="Calibri" w:hAnsi="Calibri" w:cs="Arial"/>
            <w:noProof/>
            <w:webHidden/>
          </w:rPr>
          <w:fldChar w:fldCharType="begin"/>
        </w:r>
        <w:r w:rsidR="00991F47" w:rsidRPr="00CF7EA1">
          <w:rPr>
            <w:rStyle w:val="Hyperlink"/>
            <w:rFonts w:ascii="Calibri" w:hAnsi="Calibri" w:cs="Arial"/>
            <w:noProof/>
            <w:webHidden/>
          </w:rPr>
          <w:instrText xml:space="preserve"> PAGEREF _Toc288208167 \h </w:instrText>
        </w:r>
        <w:r w:rsidR="00991F47" w:rsidRPr="00CF7EA1">
          <w:rPr>
            <w:rStyle w:val="Hyperlink"/>
            <w:rFonts w:ascii="Calibri" w:hAnsi="Calibri" w:cs="Arial"/>
            <w:noProof/>
            <w:webHidden/>
          </w:rPr>
        </w:r>
        <w:r w:rsidR="00991F47" w:rsidRPr="00CF7EA1">
          <w:rPr>
            <w:rStyle w:val="Hyperlink"/>
            <w:rFonts w:ascii="Calibri" w:hAnsi="Calibri" w:cs="Arial"/>
            <w:noProof/>
            <w:webHidden/>
          </w:rPr>
          <w:fldChar w:fldCharType="separate"/>
        </w:r>
        <w:r w:rsidR="0027490D">
          <w:rPr>
            <w:rStyle w:val="Hyperlink"/>
            <w:rFonts w:ascii="Calibri" w:hAnsi="Calibri" w:cs="Arial"/>
            <w:noProof/>
            <w:webHidden/>
          </w:rPr>
          <w:t>4</w:t>
        </w:r>
        <w:bookmarkEnd w:id="4"/>
        <w:r w:rsidR="00991F47" w:rsidRPr="00CF7EA1">
          <w:rPr>
            <w:rStyle w:val="Hyperlink"/>
            <w:rFonts w:ascii="Calibri" w:hAnsi="Calibri" w:cs="Arial"/>
            <w:noProof/>
            <w:webHidden/>
          </w:rPr>
          <w:fldChar w:fldCharType="end"/>
        </w:r>
      </w:hyperlink>
    </w:p>
    <w:p w14:paraId="19A6CBC9" w14:textId="77777777" w:rsidR="00991F47" w:rsidRPr="00CF7EA1" w:rsidRDefault="00C967B6" w:rsidP="00CF7EA1">
      <w:pPr>
        <w:pStyle w:val="TOC1"/>
        <w:tabs>
          <w:tab w:val="left" w:pos="480"/>
          <w:tab w:val="right" w:pos="8296"/>
        </w:tabs>
        <w:outlineLvl w:val="0"/>
        <w:rPr>
          <w:rStyle w:val="Hyperlink"/>
          <w:rFonts w:ascii="Calibri" w:hAnsi="Calibri" w:cs="Arial"/>
          <w:noProof/>
        </w:rPr>
      </w:pPr>
      <w:hyperlink w:anchor="_Toc288208168" w:history="1">
        <w:bookmarkStart w:id="5" w:name="_Toc288208660"/>
        <w:r w:rsidR="00991F47" w:rsidRPr="00CF7EA1">
          <w:rPr>
            <w:rStyle w:val="Hyperlink"/>
            <w:rFonts w:ascii="Calibri" w:hAnsi="Calibri" w:cs="Arial"/>
            <w:noProof/>
          </w:rPr>
          <w:t>4.</w:t>
        </w:r>
        <w:r w:rsidR="00991F47" w:rsidRPr="00CF7EA1">
          <w:rPr>
            <w:rStyle w:val="Hyperlink"/>
            <w:rFonts w:ascii="Calibri" w:hAnsi="Calibri" w:cs="Arial"/>
            <w:noProof/>
          </w:rPr>
          <w:tab/>
        </w:r>
        <w:r w:rsidR="00CF7EA1" w:rsidRPr="00CF7EA1">
          <w:rPr>
            <w:rStyle w:val="Hyperlink"/>
            <w:rFonts w:ascii="Calibri" w:hAnsi="Calibri" w:cs="Arial"/>
            <w:noProof/>
          </w:rPr>
          <w:t>REQUIREMENTS FOR JOINT INSTITUTIONAL AGREEMENTS ON HANDLING</w:t>
        </w:r>
        <w:r w:rsidR="00991F47" w:rsidRPr="00CF7EA1">
          <w:rPr>
            <w:rStyle w:val="Hyperlink"/>
            <w:rFonts w:ascii="Calibri" w:hAnsi="Calibri" w:cs="Arial"/>
            <w:noProof/>
            <w:webHidden/>
          </w:rPr>
          <w:tab/>
        </w:r>
        <w:r w:rsidR="00991F47" w:rsidRPr="00CF7EA1">
          <w:rPr>
            <w:rStyle w:val="Hyperlink"/>
            <w:rFonts w:ascii="Calibri" w:hAnsi="Calibri" w:cs="Arial"/>
            <w:noProof/>
            <w:webHidden/>
          </w:rPr>
          <w:fldChar w:fldCharType="begin"/>
        </w:r>
        <w:r w:rsidR="00991F47" w:rsidRPr="00CF7EA1">
          <w:rPr>
            <w:rStyle w:val="Hyperlink"/>
            <w:rFonts w:ascii="Calibri" w:hAnsi="Calibri" w:cs="Arial"/>
            <w:noProof/>
            <w:webHidden/>
          </w:rPr>
          <w:instrText xml:space="preserve"> PAGEREF _Toc288208168 \h </w:instrText>
        </w:r>
        <w:r w:rsidR="00991F47" w:rsidRPr="00CF7EA1">
          <w:rPr>
            <w:rStyle w:val="Hyperlink"/>
            <w:rFonts w:ascii="Calibri" w:hAnsi="Calibri" w:cs="Arial"/>
            <w:noProof/>
            <w:webHidden/>
          </w:rPr>
        </w:r>
        <w:r w:rsidR="00991F47" w:rsidRPr="00CF7EA1">
          <w:rPr>
            <w:rStyle w:val="Hyperlink"/>
            <w:rFonts w:ascii="Calibri" w:hAnsi="Calibri" w:cs="Arial"/>
            <w:noProof/>
            <w:webHidden/>
          </w:rPr>
          <w:fldChar w:fldCharType="separate"/>
        </w:r>
        <w:r w:rsidR="0027490D">
          <w:rPr>
            <w:rStyle w:val="Hyperlink"/>
            <w:rFonts w:ascii="Calibri" w:hAnsi="Calibri" w:cs="Arial"/>
            <w:noProof/>
            <w:webHidden/>
          </w:rPr>
          <w:t>4</w:t>
        </w:r>
        <w:bookmarkEnd w:id="5"/>
        <w:r w:rsidR="00991F47" w:rsidRPr="00CF7EA1">
          <w:rPr>
            <w:rStyle w:val="Hyperlink"/>
            <w:rFonts w:ascii="Calibri" w:hAnsi="Calibri" w:cs="Arial"/>
            <w:noProof/>
            <w:webHidden/>
          </w:rPr>
          <w:fldChar w:fldCharType="end"/>
        </w:r>
      </w:hyperlink>
    </w:p>
    <w:p w14:paraId="2EE49146" w14:textId="77777777" w:rsidR="005D33BA" w:rsidRPr="00A11803" w:rsidRDefault="00991F47" w:rsidP="00A11803">
      <w:pPr>
        <w:pStyle w:val="Heading2"/>
      </w:pPr>
      <w:r w:rsidRPr="00A11803">
        <w:br w:type="page"/>
      </w:r>
      <w:r w:rsidRPr="00A11803">
        <w:fldChar w:fldCharType="end"/>
      </w:r>
      <w:r w:rsidR="00DC2384" w:rsidRPr="00A11803">
        <w:t xml:space="preserve">Principles for Joint </w:t>
      </w:r>
      <w:r w:rsidR="00EE738E" w:rsidRPr="00A11803">
        <w:t>Higher Degree</w:t>
      </w:r>
      <w:r w:rsidR="007A38C8" w:rsidRPr="00A11803">
        <w:t>s</w:t>
      </w:r>
      <w:r w:rsidR="00EE738E" w:rsidRPr="00A11803">
        <w:t xml:space="preserve"> by Research </w:t>
      </w:r>
      <w:r w:rsidR="00DC2384" w:rsidRPr="00A11803">
        <w:t xml:space="preserve">between Australian Higher Education </w:t>
      </w:r>
      <w:r w:rsidR="00674171" w:rsidRPr="00A11803">
        <w:t>Providers</w:t>
      </w:r>
    </w:p>
    <w:p w14:paraId="11A5E733" w14:textId="77777777" w:rsidR="00D2634E" w:rsidRPr="00A11803" w:rsidRDefault="00D2634E" w:rsidP="00A11803"/>
    <w:p w14:paraId="24A34EEB" w14:textId="77777777" w:rsidR="00EE738E" w:rsidRPr="00A11803" w:rsidRDefault="007A4AC5" w:rsidP="00A11803">
      <w:pPr>
        <w:pStyle w:val="Bullet1"/>
      </w:pPr>
      <w:bookmarkStart w:id="6" w:name="_Toc284935078"/>
      <w:bookmarkStart w:id="7" w:name="_Toc288208165"/>
      <w:bookmarkStart w:id="8" w:name="_Toc288208661"/>
      <w:r w:rsidRPr="00A11803">
        <w:t>Introduction</w:t>
      </w:r>
      <w:bookmarkEnd w:id="6"/>
      <w:bookmarkEnd w:id="7"/>
      <w:bookmarkEnd w:id="8"/>
    </w:p>
    <w:p w14:paraId="28175A79" w14:textId="77777777" w:rsidR="00285D2D" w:rsidRPr="00A11803" w:rsidRDefault="006C5B04" w:rsidP="00667361">
      <w:pPr>
        <w:pStyle w:val="Bullet2"/>
      </w:pPr>
      <w:bookmarkStart w:id="9" w:name="_Toc288208662"/>
      <w:bookmarkStart w:id="10" w:name="_Toc284934578"/>
      <w:bookmarkStart w:id="11" w:name="_Toc284935079"/>
      <w:r w:rsidRPr="003E3EEF">
        <w:t xml:space="preserve">A </w:t>
      </w:r>
      <w:proofErr w:type="gramStart"/>
      <w:r w:rsidRPr="003E3EEF">
        <w:t>j</w:t>
      </w:r>
      <w:r w:rsidR="00285D2D" w:rsidRPr="003E3EEF">
        <w:t>ointly-</w:t>
      </w:r>
      <w:r w:rsidRPr="003E3EEF">
        <w:t>a</w:t>
      </w:r>
      <w:r w:rsidR="00285D2D" w:rsidRPr="003E3EEF">
        <w:t>warded</w:t>
      </w:r>
      <w:proofErr w:type="gramEnd"/>
      <w:r w:rsidR="00285D2D" w:rsidRPr="003E3EEF">
        <w:t xml:space="preserve"> Higher Degree by Research (HDR) program allows eligible Masters by Research and Doctorate Research students to be supervised jointly by academics from two </w:t>
      </w:r>
      <w:r w:rsidRPr="003E3EEF">
        <w:t>different</w:t>
      </w:r>
      <w:r w:rsidR="00285D2D" w:rsidRPr="003E3EEF">
        <w:t xml:space="preserve"> Higher Education Providers (HEPs). </w:t>
      </w:r>
      <w:r w:rsidRPr="003E3EEF">
        <w:t>Eligible</w:t>
      </w:r>
      <w:r w:rsidR="00285D2D" w:rsidRPr="003E3EEF">
        <w:t xml:space="preserve"> students are </w:t>
      </w:r>
      <w:r w:rsidR="00B82EE0" w:rsidRPr="003E3EEF">
        <w:t xml:space="preserve">normally </w:t>
      </w:r>
      <w:r w:rsidR="00285D2D" w:rsidRPr="003E3EEF">
        <w:t>enrolled concurrently</w:t>
      </w:r>
      <w:r w:rsidR="00385F2E" w:rsidRPr="00853EAD">
        <w:rPr>
          <w:rStyle w:val="FootnoteReference"/>
        </w:rPr>
        <w:footnoteReference w:id="1"/>
      </w:r>
      <w:r w:rsidR="00285D2D" w:rsidRPr="003E3EEF">
        <w:t xml:space="preserve"> at the two universities for the entire period of their </w:t>
      </w:r>
      <w:r w:rsidRPr="003E3EEF">
        <w:t>award</w:t>
      </w:r>
      <w:r w:rsidR="00285D2D" w:rsidRPr="003E3EEF">
        <w:t xml:space="preserve"> and must spend at least </w:t>
      </w:r>
      <w:r w:rsidR="008F00A5" w:rsidRPr="003E3EEF">
        <w:t xml:space="preserve">a total of </w:t>
      </w:r>
      <w:r w:rsidR="00285D2D" w:rsidRPr="003E3EEF">
        <w:t xml:space="preserve">one </w:t>
      </w:r>
      <w:r w:rsidR="00601E06" w:rsidRPr="003E3EEF">
        <w:t xml:space="preserve">year (or one third) of </w:t>
      </w:r>
      <w:r w:rsidR="00285D2D" w:rsidRPr="003E3EEF">
        <w:t xml:space="preserve">their degree in each university. </w:t>
      </w:r>
      <w:r w:rsidRPr="003E3EEF">
        <w:t xml:space="preserve">Upon completion, students are eligible to receive a </w:t>
      </w:r>
      <w:proofErr w:type="gramStart"/>
      <w:r w:rsidRPr="003E3EEF">
        <w:t>jointly-badged</w:t>
      </w:r>
      <w:proofErr w:type="gramEnd"/>
      <w:r w:rsidRPr="003E3EEF">
        <w:t xml:space="preserve"> award.</w:t>
      </w:r>
      <w:bookmarkEnd w:id="9"/>
      <w:bookmarkEnd w:id="10"/>
      <w:bookmarkEnd w:id="11"/>
    </w:p>
    <w:p w14:paraId="22F6AA47" w14:textId="77777777" w:rsidR="00861F0F" w:rsidRPr="00A11803" w:rsidRDefault="00861F0F" w:rsidP="00A11803">
      <w:pPr>
        <w:pStyle w:val="Bullet1"/>
      </w:pPr>
      <w:bookmarkStart w:id="12" w:name="_Toc284935081"/>
      <w:bookmarkStart w:id="13" w:name="_Toc288208166"/>
      <w:bookmarkStart w:id="14" w:name="_Toc288208663"/>
      <w:r w:rsidRPr="00A11803">
        <w:t>Objectives</w:t>
      </w:r>
      <w:bookmarkEnd w:id="12"/>
      <w:bookmarkEnd w:id="13"/>
      <w:bookmarkEnd w:id="14"/>
    </w:p>
    <w:p w14:paraId="6BEF22DB" w14:textId="77777777" w:rsidR="00861F0F" w:rsidRPr="003E3EEF" w:rsidRDefault="006C5B04" w:rsidP="008C4BEC">
      <w:pPr>
        <w:pStyle w:val="Bullet2"/>
      </w:pPr>
      <w:bookmarkStart w:id="15" w:name="_Toc288208664"/>
      <w:bookmarkStart w:id="16" w:name="_Toc284934581"/>
      <w:bookmarkStart w:id="17" w:name="_Toc284935082"/>
      <w:r w:rsidRPr="003E3EEF">
        <w:t xml:space="preserve">The </w:t>
      </w:r>
      <w:r w:rsidR="008363BD" w:rsidRPr="003E3EEF">
        <w:t xml:space="preserve">Department of Innovation, Industry, Science and Research (DIISR) </w:t>
      </w:r>
      <w:r w:rsidRPr="003E3EEF">
        <w:t>acknowledges joint HDRs are an important mechanism for Australian HEPs to collaborate in research and research training.</w:t>
      </w:r>
      <w:bookmarkStart w:id="18" w:name="_Toc288208665"/>
      <w:bookmarkEnd w:id="15"/>
      <w:r w:rsidR="003C3D8B" w:rsidRPr="003E3EEF">
        <w:t xml:space="preserve"> </w:t>
      </w:r>
      <w:r w:rsidR="00285D2D" w:rsidRPr="003E3EEF">
        <w:t>Joint HDR awards provide significant benefits to students and HEPs by:</w:t>
      </w:r>
      <w:bookmarkEnd w:id="18"/>
      <w:r w:rsidR="00285D2D" w:rsidRPr="003E3EEF">
        <w:t xml:space="preserve"> </w:t>
      </w:r>
      <w:bookmarkEnd w:id="16"/>
      <w:bookmarkEnd w:id="17"/>
    </w:p>
    <w:p w14:paraId="50192D2F" w14:textId="77777777" w:rsidR="005F3917" w:rsidRPr="00A11803" w:rsidRDefault="005F3917" w:rsidP="00A11803">
      <w:pPr>
        <w:pStyle w:val="Bullet3"/>
      </w:pPr>
      <w:r w:rsidRPr="00A11803">
        <w:t>providing students with</w:t>
      </w:r>
      <w:r w:rsidR="00591164" w:rsidRPr="00A11803">
        <w:t xml:space="preserve"> opportunities to access </w:t>
      </w:r>
      <w:proofErr w:type="gramStart"/>
      <w:r w:rsidR="00861F0F" w:rsidRPr="00A11803">
        <w:t xml:space="preserve">specialised </w:t>
      </w:r>
      <w:r w:rsidR="00591164" w:rsidRPr="00A11803">
        <w:t xml:space="preserve"> and</w:t>
      </w:r>
      <w:proofErr w:type="gramEnd"/>
      <w:r w:rsidR="00591164" w:rsidRPr="00A11803">
        <w:t xml:space="preserve"> cutting edge </w:t>
      </w:r>
      <w:r w:rsidRPr="00A11803">
        <w:t>equipment and international facilities that they may otherwise be unable to access;</w:t>
      </w:r>
    </w:p>
    <w:p w14:paraId="70E74734" w14:textId="77777777" w:rsidR="00222B20" w:rsidRPr="00A11803" w:rsidRDefault="00222B20" w:rsidP="006F1131">
      <w:pPr>
        <w:pStyle w:val="Bullet3"/>
      </w:pPr>
      <w:r w:rsidRPr="00A11803">
        <w:t xml:space="preserve">providing students with a broader academic environment than they would otherwise directly </w:t>
      </w:r>
      <w:proofErr w:type="gramStart"/>
      <w:r w:rsidRPr="00A11803">
        <w:t>access;</w:t>
      </w:r>
      <w:proofErr w:type="gramEnd"/>
    </w:p>
    <w:p w14:paraId="73A37BA4" w14:textId="77777777" w:rsidR="00414114" w:rsidRPr="006F1131" w:rsidRDefault="00414114" w:rsidP="006F1131">
      <w:pPr>
        <w:pStyle w:val="Bullet3"/>
      </w:pPr>
      <w:r w:rsidRPr="006F1131">
        <w:t>facilitating</w:t>
      </w:r>
      <w:r w:rsidR="00591164" w:rsidRPr="006F1131">
        <w:t xml:space="preserve"> cooperation and collaboration of </w:t>
      </w:r>
      <w:r w:rsidR="009306DA" w:rsidRPr="006F1131">
        <w:t>HDR students and researchers</w:t>
      </w:r>
      <w:r w:rsidR="00591164" w:rsidRPr="006F1131">
        <w:t xml:space="preserve"> </w:t>
      </w:r>
      <w:r w:rsidRPr="006F1131">
        <w:t xml:space="preserve">working </w:t>
      </w:r>
      <w:r w:rsidR="009306DA" w:rsidRPr="006F1131">
        <w:t xml:space="preserve">at </w:t>
      </w:r>
      <w:r w:rsidRPr="006F1131">
        <w:t xml:space="preserve">different institutions and encouraging a greater transfer of knowledge between </w:t>
      </w:r>
      <w:proofErr w:type="gramStart"/>
      <w:r w:rsidRPr="006F1131">
        <w:t>HEPs</w:t>
      </w:r>
      <w:r w:rsidR="009306DA" w:rsidRPr="006F1131">
        <w:t>;</w:t>
      </w:r>
      <w:proofErr w:type="gramEnd"/>
    </w:p>
    <w:p w14:paraId="61CB3631" w14:textId="77777777" w:rsidR="003F47A3" w:rsidRPr="006F1131" w:rsidRDefault="00414114" w:rsidP="006F1131">
      <w:pPr>
        <w:pStyle w:val="Bullet3"/>
      </w:pPr>
      <w:r w:rsidRPr="006F1131">
        <w:t>providing HDR students in regional areas with limited mobility, greater access to infrastructure support without the need to</w:t>
      </w:r>
      <w:r w:rsidR="00222B20" w:rsidRPr="006F1131">
        <w:t xml:space="preserve"> permanently</w:t>
      </w:r>
      <w:r w:rsidRPr="006F1131">
        <w:t xml:space="preserve"> relocate</w:t>
      </w:r>
      <w:r w:rsidR="003F47A3" w:rsidRPr="006F1131">
        <w:t xml:space="preserve"> </w:t>
      </w:r>
      <w:proofErr w:type="gramStart"/>
      <w:r w:rsidR="003F47A3" w:rsidRPr="006F1131">
        <w:t>and;</w:t>
      </w:r>
      <w:proofErr w:type="gramEnd"/>
    </w:p>
    <w:p w14:paraId="4BEADA21" w14:textId="77777777" w:rsidR="00861F0F" w:rsidRPr="006F1131" w:rsidRDefault="005F3917" w:rsidP="00CF7EA1">
      <w:pPr>
        <w:pStyle w:val="Bullet3"/>
      </w:pPr>
      <w:r w:rsidRPr="006F1131">
        <w:t xml:space="preserve">potentially </w:t>
      </w:r>
      <w:r w:rsidRPr="006F1131">
        <w:rPr>
          <w:szCs w:val="22"/>
        </w:rPr>
        <w:t>strengthening the alignment of research training with areas of identified research strength</w:t>
      </w:r>
      <w:r w:rsidRPr="006F1131" w:rsidDel="005F3917">
        <w:t xml:space="preserve"> </w:t>
      </w:r>
      <w:r w:rsidRPr="006F1131">
        <w:t>between HEPs</w:t>
      </w:r>
      <w:r w:rsidR="003F47A3" w:rsidRPr="006F1131">
        <w:t>.</w:t>
      </w:r>
    </w:p>
    <w:p w14:paraId="0BBF0626" w14:textId="77777777" w:rsidR="00414114" w:rsidRPr="00A11803" w:rsidRDefault="00414114" w:rsidP="00CF7EA1">
      <w:pPr>
        <w:pStyle w:val="Bullet2"/>
        <w:keepNext w:val="0"/>
        <w:keepLines w:val="0"/>
      </w:pPr>
      <w:bookmarkStart w:id="19" w:name="_Toc288208666"/>
      <w:bookmarkStart w:id="20" w:name="_Toc284934582"/>
      <w:bookmarkStart w:id="21" w:name="_Toc284935083"/>
      <w:r w:rsidRPr="00A11803">
        <w:t xml:space="preserve">Arrangements for the administration of </w:t>
      </w:r>
      <w:r w:rsidR="0090180E" w:rsidRPr="00A11803">
        <w:t>j</w:t>
      </w:r>
      <w:r w:rsidRPr="00A11803">
        <w:t xml:space="preserve">oint HDR awards are managed by the two partnering HEPs to ensure that </w:t>
      </w:r>
      <w:r w:rsidR="003D2551" w:rsidRPr="00A11803">
        <w:t>a duty of care to the student is maintained.</w:t>
      </w:r>
      <w:bookmarkEnd w:id="19"/>
      <w:r w:rsidR="003D2551" w:rsidRPr="00A11803">
        <w:t xml:space="preserve"> </w:t>
      </w:r>
    </w:p>
    <w:p w14:paraId="3A5B9155" w14:textId="77777777" w:rsidR="008F7515" w:rsidRPr="00BF6F4D" w:rsidRDefault="008363BD" w:rsidP="00BF6F4D">
      <w:pPr>
        <w:pStyle w:val="Bullet2"/>
      </w:pPr>
      <w:bookmarkStart w:id="22" w:name="_Toc288208667"/>
      <w:r w:rsidRPr="00BF6F4D">
        <w:t>T</w:t>
      </w:r>
      <w:r w:rsidR="00F128DB" w:rsidRPr="00BF6F4D">
        <w:t>his paper</w:t>
      </w:r>
      <w:r w:rsidRPr="00BF6F4D">
        <w:t xml:space="preserve"> has been prepared by DIISR</w:t>
      </w:r>
      <w:r w:rsidR="00F128DB" w:rsidRPr="00BF6F4D">
        <w:t xml:space="preserve"> </w:t>
      </w:r>
      <w:r w:rsidR="006C5B04" w:rsidRPr="00BF6F4D">
        <w:t>to provide</w:t>
      </w:r>
      <w:r w:rsidR="00F128DB" w:rsidRPr="00BF6F4D">
        <w:t xml:space="preserve"> </w:t>
      </w:r>
      <w:r w:rsidR="00132C9C" w:rsidRPr="00BF6F4D">
        <w:t>guidance to</w:t>
      </w:r>
      <w:r w:rsidR="008F7515" w:rsidRPr="00BF6F4D">
        <w:t xml:space="preserve"> HEPs </w:t>
      </w:r>
      <w:r w:rsidR="00F128DB" w:rsidRPr="00BF6F4D">
        <w:t xml:space="preserve">entering into agreements for the management </w:t>
      </w:r>
      <w:r w:rsidR="006C5B04" w:rsidRPr="00BF6F4D">
        <w:t xml:space="preserve">and delivery </w:t>
      </w:r>
      <w:r w:rsidR="00F128DB" w:rsidRPr="00BF6F4D">
        <w:t xml:space="preserve">of joint HDR awards. The paper aims to outline </w:t>
      </w:r>
      <w:r w:rsidR="003D2551" w:rsidRPr="00BF6F4D">
        <w:t xml:space="preserve">the issues that need to be </w:t>
      </w:r>
      <w:r w:rsidR="00F128DB" w:rsidRPr="00BF6F4D">
        <w:t xml:space="preserve">considered by HEPs </w:t>
      </w:r>
      <w:proofErr w:type="gramStart"/>
      <w:r w:rsidR="00F128DB" w:rsidRPr="00BF6F4D">
        <w:t>entering into</w:t>
      </w:r>
      <w:proofErr w:type="gramEnd"/>
      <w:r w:rsidR="00F128DB" w:rsidRPr="00BF6F4D">
        <w:t xml:space="preserve"> such arrangement so </w:t>
      </w:r>
      <w:r w:rsidR="006B1A17" w:rsidRPr="00BF6F4D">
        <w:t>that they can be confident</w:t>
      </w:r>
      <w:r w:rsidR="008F7515" w:rsidRPr="00BF6F4D">
        <w:t xml:space="preserve"> </w:t>
      </w:r>
      <w:r w:rsidR="00122D41" w:rsidRPr="00BF6F4D">
        <w:t xml:space="preserve">that the approach they are </w:t>
      </w:r>
      <w:r w:rsidR="00576692" w:rsidRPr="00BF6F4D">
        <w:t>employing</w:t>
      </w:r>
      <w:r w:rsidR="00122D41" w:rsidRPr="00BF6F4D">
        <w:t xml:space="preserve"> is nationally consisten</w:t>
      </w:r>
      <w:r w:rsidR="00EB2EC9" w:rsidRPr="00BF6F4D">
        <w:t>t</w:t>
      </w:r>
      <w:bookmarkEnd w:id="20"/>
      <w:bookmarkEnd w:id="21"/>
      <w:r w:rsidR="00543C2B" w:rsidRPr="00BF6F4D">
        <w:t xml:space="preserve">. </w:t>
      </w:r>
      <w:bookmarkStart w:id="23" w:name="OLE_LINK1"/>
      <w:bookmarkStart w:id="24" w:name="OLE_LINK2"/>
      <w:r w:rsidR="003908F5" w:rsidRPr="00BF6F4D">
        <w:t>However, it is not DIISR’s intention that these guidelines should</w:t>
      </w:r>
      <w:bookmarkEnd w:id="23"/>
      <w:bookmarkEnd w:id="24"/>
      <w:r w:rsidR="006C5B04" w:rsidRPr="00BF6F4D">
        <w:t xml:space="preserve"> comp</w:t>
      </w:r>
      <w:r w:rsidR="003B2C35" w:rsidRPr="00BF6F4D">
        <w:t>romise the flexibility that HEPs currently exercise in negotiating agreements for joint HDR awards.</w:t>
      </w:r>
      <w:bookmarkEnd w:id="22"/>
      <w:r w:rsidR="003B2C35" w:rsidRPr="00BF6F4D">
        <w:t xml:space="preserve"> </w:t>
      </w:r>
    </w:p>
    <w:p w14:paraId="65E34630" w14:textId="77777777" w:rsidR="00034402" w:rsidRPr="00A11803" w:rsidRDefault="00152595" w:rsidP="00667361">
      <w:pPr>
        <w:pStyle w:val="Bullet2"/>
      </w:pPr>
      <w:bookmarkStart w:id="25" w:name="_Toc284934583"/>
      <w:bookmarkStart w:id="26" w:name="_Toc284935084"/>
      <w:bookmarkStart w:id="27" w:name="_Toc288208668"/>
      <w:r w:rsidRPr="00A11803">
        <w:t>S</w:t>
      </w:r>
      <w:r w:rsidR="006C05F2" w:rsidRPr="00A11803">
        <w:t xml:space="preserve">tudents may transfer between HEPs due to </w:t>
      </w:r>
      <w:proofErr w:type="spellStart"/>
      <w:r w:rsidR="006C05F2" w:rsidRPr="00A11803">
        <w:t>unforseen</w:t>
      </w:r>
      <w:proofErr w:type="spellEnd"/>
      <w:r w:rsidR="006C05F2" w:rsidRPr="00A11803">
        <w:t xml:space="preserve"> circumstances including the movement of supervisors, </w:t>
      </w:r>
      <w:proofErr w:type="gramStart"/>
      <w:r w:rsidR="006C05F2" w:rsidRPr="00A11803">
        <w:t>infrastructure</w:t>
      </w:r>
      <w:proofErr w:type="gramEnd"/>
      <w:r w:rsidR="006C05F2" w:rsidRPr="00A11803">
        <w:t xml:space="preserve"> </w:t>
      </w:r>
      <w:r w:rsidR="009916FC" w:rsidRPr="00A11803">
        <w:t>and</w:t>
      </w:r>
      <w:r w:rsidR="006C05F2" w:rsidRPr="00A11803">
        <w:t xml:space="preserve"> laborat</w:t>
      </w:r>
      <w:r w:rsidR="009916FC" w:rsidRPr="00A11803">
        <w:t>or</w:t>
      </w:r>
      <w:r w:rsidR="006C05F2" w:rsidRPr="00A11803">
        <w:t xml:space="preserve">y equipment. During these changes, </w:t>
      </w:r>
      <w:r w:rsidR="00157EE7" w:rsidRPr="00A11803">
        <w:t>each institution is</w:t>
      </w:r>
      <w:r w:rsidR="006C05F2" w:rsidRPr="00A11803">
        <w:t xml:space="preserve"> responsible</w:t>
      </w:r>
      <w:r w:rsidR="00CD2FAA" w:rsidRPr="00A11803">
        <w:t xml:space="preserve"> </w:t>
      </w:r>
      <w:r w:rsidR="00157EE7" w:rsidRPr="00A11803">
        <w:t>for ensuring</w:t>
      </w:r>
      <w:r w:rsidR="00CD2FAA" w:rsidRPr="00A11803">
        <w:t xml:space="preserve"> that a fair and accurate recognition of in</w:t>
      </w:r>
      <w:r w:rsidR="00B65111" w:rsidRPr="00A11803">
        <w:t>vestment in the training o</w:t>
      </w:r>
      <w:r w:rsidR="00CD2FAA" w:rsidRPr="00A11803">
        <w:t>f the research student is awarded.</w:t>
      </w:r>
      <w:r w:rsidR="005F3917" w:rsidRPr="00A11803">
        <w:t xml:space="preserve"> </w:t>
      </w:r>
    </w:p>
    <w:p w14:paraId="5B08973F" w14:textId="77777777" w:rsidR="003E3EEF" w:rsidRPr="00A11803" w:rsidRDefault="0057700C" w:rsidP="00667361">
      <w:pPr>
        <w:pStyle w:val="Bullet2"/>
      </w:pPr>
      <w:r w:rsidRPr="00A11803">
        <w:t>While t</w:t>
      </w:r>
      <w:r w:rsidR="00601E06" w:rsidRPr="00A11803">
        <w:t>his</w:t>
      </w:r>
      <w:r w:rsidR="006C05F2" w:rsidRPr="00A11803">
        <w:t xml:space="preserve"> </w:t>
      </w:r>
      <w:r w:rsidR="00601E06" w:rsidRPr="00A11803">
        <w:t>document</w:t>
      </w:r>
      <w:r w:rsidR="006C05F2" w:rsidRPr="00A11803">
        <w:t xml:space="preserve"> do</w:t>
      </w:r>
      <w:r w:rsidR="00601E06" w:rsidRPr="00A11803">
        <w:t>es</w:t>
      </w:r>
      <w:r w:rsidR="006C05F2" w:rsidRPr="00A11803">
        <w:t xml:space="preserve"> not provide specific guidance with regards to th</w:t>
      </w:r>
      <w:r w:rsidR="003B2C35" w:rsidRPr="00A11803">
        <w:t>e issue of unplanned student transfers</w:t>
      </w:r>
      <w:r w:rsidRPr="00A11803">
        <w:t xml:space="preserve">, it does not preclude HEPs </w:t>
      </w:r>
      <w:r w:rsidR="00E55249" w:rsidRPr="00A11803">
        <w:t xml:space="preserve">from </w:t>
      </w:r>
      <w:r w:rsidRPr="00A11803">
        <w:t>awarding a joint HDR award in these instances.  Should</w:t>
      </w:r>
      <w:r w:rsidR="00E55249" w:rsidRPr="00A11803">
        <w:t xml:space="preserve"> the</w:t>
      </w:r>
      <w:r w:rsidRPr="00A11803">
        <w:t xml:space="preserve"> HEPs</w:t>
      </w:r>
      <w:r w:rsidR="00E55249" w:rsidRPr="00A11803">
        <w:t xml:space="preserve"> involved</w:t>
      </w:r>
      <w:r w:rsidRPr="00A11803">
        <w:t xml:space="preserve"> </w:t>
      </w:r>
      <w:r w:rsidR="00E55249" w:rsidRPr="00A11803">
        <w:t>agree</w:t>
      </w:r>
      <w:r w:rsidRPr="00A11803">
        <w:t xml:space="preserve"> to award a joint HDR under these </w:t>
      </w:r>
      <w:r w:rsidR="00E55249" w:rsidRPr="00A11803">
        <w:t>circumstances</w:t>
      </w:r>
      <w:r w:rsidRPr="00A11803">
        <w:t xml:space="preserve">, these </w:t>
      </w:r>
      <w:r w:rsidR="00034402" w:rsidRPr="00A11803">
        <w:t xml:space="preserve">guidelines may be </w:t>
      </w:r>
      <w:r w:rsidRPr="00A11803">
        <w:t xml:space="preserve">applied retrospectively, </w:t>
      </w:r>
      <w:r w:rsidR="00E55249" w:rsidRPr="00A11803">
        <w:t>where a student</w:t>
      </w:r>
      <w:r w:rsidR="00034402" w:rsidRPr="00A11803">
        <w:t xml:space="preserve"> has spent</w:t>
      </w:r>
      <w:r w:rsidRPr="00A11803">
        <w:t xml:space="preserve"> at least a </w:t>
      </w:r>
      <w:r w:rsidR="00034402" w:rsidRPr="00A11803">
        <w:t xml:space="preserve">year enrolled at each institution. </w:t>
      </w:r>
      <w:r w:rsidR="00601E06" w:rsidRPr="00A11803">
        <w:t xml:space="preserve"> I</w:t>
      </w:r>
      <w:r w:rsidR="006C05F2" w:rsidRPr="00A11803">
        <w:t xml:space="preserve">t remains the responsibility of </w:t>
      </w:r>
      <w:r w:rsidR="00E55249" w:rsidRPr="00A11803">
        <w:t xml:space="preserve">the </w:t>
      </w:r>
      <w:r w:rsidR="003F5E84" w:rsidRPr="00A11803">
        <w:t xml:space="preserve">HEPs </w:t>
      </w:r>
      <w:r w:rsidR="006C05F2" w:rsidRPr="00A11803">
        <w:t xml:space="preserve">involved in these circumstances to </w:t>
      </w:r>
      <w:r w:rsidR="003908F5" w:rsidRPr="00A11803">
        <w:t xml:space="preserve">ensure </w:t>
      </w:r>
      <w:r w:rsidR="00601E06" w:rsidRPr="00A11803">
        <w:t>that their</w:t>
      </w:r>
      <w:r w:rsidR="006C05F2" w:rsidRPr="00A11803">
        <w:t xml:space="preserve"> duty of care to the student is met. </w:t>
      </w:r>
      <w:bookmarkEnd w:id="25"/>
      <w:bookmarkEnd w:id="26"/>
      <w:bookmarkEnd w:id="27"/>
    </w:p>
    <w:p w14:paraId="739F36BB" w14:textId="77777777" w:rsidR="007F7ACB" w:rsidRPr="00A11803" w:rsidRDefault="00B06C3C" w:rsidP="00A11803">
      <w:pPr>
        <w:pStyle w:val="Bullet1"/>
      </w:pPr>
      <w:bookmarkStart w:id="28" w:name="_Toc284935089"/>
      <w:bookmarkStart w:id="29" w:name="_Toc288208167"/>
      <w:bookmarkStart w:id="30" w:name="_Toc288208669"/>
      <w:r w:rsidRPr="00A11803">
        <w:t xml:space="preserve">Definitions and </w:t>
      </w:r>
      <w:bookmarkEnd w:id="28"/>
      <w:r w:rsidR="00601E06" w:rsidRPr="00A11803">
        <w:t>Scope</w:t>
      </w:r>
      <w:bookmarkEnd w:id="29"/>
      <w:bookmarkEnd w:id="30"/>
    </w:p>
    <w:p w14:paraId="3E03A4E3" w14:textId="77777777" w:rsidR="00325477" w:rsidRPr="003E3EEF" w:rsidRDefault="004749D2" w:rsidP="00667361">
      <w:pPr>
        <w:pStyle w:val="Bullet2"/>
      </w:pPr>
      <w:bookmarkStart w:id="31" w:name="_Toc288208670"/>
      <w:r w:rsidRPr="003E3EEF">
        <w:t>A j</w:t>
      </w:r>
      <w:r w:rsidR="00A10510" w:rsidRPr="003E3EEF">
        <w:t>oint</w:t>
      </w:r>
      <w:r w:rsidR="00711305" w:rsidRPr="003E3EEF">
        <w:t xml:space="preserve"> HDR</w:t>
      </w:r>
      <w:r w:rsidR="00325477" w:rsidRPr="003E3EEF">
        <w:t>:</w:t>
      </w:r>
      <w:bookmarkEnd w:id="31"/>
      <w:r w:rsidR="00325477" w:rsidRPr="003E3EEF">
        <w:t xml:space="preserve"> </w:t>
      </w:r>
    </w:p>
    <w:p w14:paraId="2CD9632B" w14:textId="77777777" w:rsidR="00325477" w:rsidRPr="00A11803" w:rsidRDefault="00325477" w:rsidP="00590378">
      <w:pPr>
        <w:pStyle w:val="Bullet3"/>
      </w:pPr>
      <w:r w:rsidRPr="00A11803">
        <w:t xml:space="preserve">means a </w:t>
      </w:r>
      <w:r w:rsidR="001B2DF4" w:rsidRPr="00A11803">
        <w:t>higher d</w:t>
      </w:r>
      <w:r w:rsidR="00DC3F90" w:rsidRPr="00A11803">
        <w:t xml:space="preserve">egree </w:t>
      </w:r>
      <w:r w:rsidR="001B2DF4" w:rsidRPr="00A11803">
        <w:t>jointly provided by two HEPs, undertaken by students to achieve a Research Doctorate</w:t>
      </w:r>
      <w:r w:rsidR="003B2C35" w:rsidRPr="00A11803">
        <w:t xml:space="preserve">, </w:t>
      </w:r>
      <w:r w:rsidR="001B2DF4" w:rsidRPr="00A11803">
        <w:t>including a Professional Doctorate</w:t>
      </w:r>
      <w:r w:rsidR="003B2C35" w:rsidRPr="00A11803">
        <w:t>,</w:t>
      </w:r>
      <w:r w:rsidR="001B2DF4" w:rsidRPr="00A11803">
        <w:t xml:space="preserve"> or Research Masters (as described in the Australian Qualifications Framework and for which at least two-thirds of the student load for the cours</w:t>
      </w:r>
      <w:r w:rsidR="009916FC" w:rsidRPr="00A11803">
        <w:t xml:space="preserve">e is required as research work) </w:t>
      </w:r>
      <w:proofErr w:type="gramStart"/>
      <w:r w:rsidR="009916FC" w:rsidRPr="00A11803">
        <w:t>and;</w:t>
      </w:r>
      <w:proofErr w:type="gramEnd"/>
      <w:r w:rsidR="009916FC" w:rsidRPr="00A11803">
        <w:t xml:space="preserve"> </w:t>
      </w:r>
    </w:p>
    <w:p w14:paraId="2ABE4622" w14:textId="77777777" w:rsidR="00667361" w:rsidRDefault="009916FC" w:rsidP="00590378">
      <w:pPr>
        <w:pStyle w:val="Bullet3"/>
      </w:pPr>
      <w:r w:rsidRPr="00A11803">
        <w:t xml:space="preserve">where the student spends a minimum time equivalent </w:t>
      </w:r>
      <w:r w:rsidR="003908F5" w:rsidRPr="00A11803">
        <w:t>to the</w:t>
      </w:r>
      <w:r w:rsidR="008F00A5" w:rsidRPr="00A11803">
        <w:t xml:space="preserve"> total of </w:t>
      </w:r>
      <w:r w:rsidR="006A45D3" w:rsidRPr="00A11803">
        <w:t xml:space="preserve">one year or </w:t>
      </w:r>
      <w:r w:rsidRPr="00A11803">
        <w:t>one-third full-time candidature over the course of their award enrolled at each HEP.</w:t>
      </w:r>
      <w:bookmarkStart w:id="32" w:name="_Toc288208671"/>
    </w:p>
    <w:p w14:paraId="60955433" w14:textId="77777777" w:rsidR="001E2DDC" w:rsidRPr="006F1131" w:rsidRDefault="00601E06" w:rsidP="00CF7EA1">
      <w:pPr>
        <w:pStyle w:val="Bullet2"/>
        <w:keepNext w:val="0"/>
        <w:keepLines w:val="0"/>
      </w:pPr>
      <w:r w:rsidRPr="006F1131">
        <w:t>A</w:t>
      </w:r>
      <w:r w:rsidR="00325477" w:rsidRPr="006F1131">
        <w:t xml:space="preserve"> joint HDR is available to both domestic</w:t>
      </w:r>
      <w:r w:rsidR="00993888" w:rsidRPr="006F1131">
        <w:rPr>
          <w:rStyle w:val="FootnoteReference"/>
          <w:bCs w:val="0"/>
          <w:iCs w:val="0"/>
        </w:rPr>
        <w:footnoteReference w:id="2"/>
      </w:r>
      <w:r w:rsidR="00325477" w:rsidRPr="00667361">
        <w:rPr>
          <w:rStyle w:val="FootnoteReference"/>
          <w:bCs w:val="0"/>
          <w:iCs w:val="0"/>
        </w:rPr>
        <w:t xml:space="preserve"> </w:t>
      </w:r>
      <w:r w:rsidR="00325477" w:rsidRPr="006F1131">
        <w:t>and international</w:t>
      </w:r>
      <w:r w:rsidR="00993888" w:rsidRPr="006F1131">
        <w:rPr>
          <w:rStyle w:val="FootnoteReference"/>
          <w:bCs w:val="0"/>
          <w:iCs w:val="0"/>
        </w:rPr>
        <w:footnoteReference w:id="3"/>
      </w:r>
      <w:r w:rsidR="00325477" w:rsidRPr="00667361">
        <w:rPr>
          <w:rStyle w:val="FootnoteReference"/>
          <w:bCs w:val="0"/>
          <w:iCs w:val="0"/>
        </w:rPr>
        <w:t xml:space="preserve"> </w:t>
      </w:r>
      <w:r w:rsidR="00325477" w:rsidRPr="006F1131">
        <w:t>students</w:t>
      </w:r>
      <w:r w:rsidR="00324AB6" w:rsidRPr="006F1131">
        <w:t>.</w:t>
      </w:r>
      <w:bookmarkEnd w:id="32"/>
    </w:p>
    <w:p w14:paraId="5BCC1E2A" w14:textId="77777777" w:rsidR="00601E06" w:rsidRPr="00A11803" w:rsidRDefault="00601E06" w:rsidP="00CF7EA1">
      <w:pPr>
        <w:pStyle w:val="Bullet1"/>
        <w:keepNext w:val="0"/>
      </w:pPr>
      <w:bookmarkStart w:id="33" w:name="_Toc288208168"/>
      <w:bookmarkStart w:id="34" w:name="_Toc288208672"/>
      <w:r w:rsidRPr="00A11803">
        <w:t>Requirements for joint institutional agreements on handling</w:t>
      </w:r>
      <w:bookmarkEnd w:id="33"/>
      <w:bookmarkEnd w:id="34"/>
    </w:p>
    <w:p w14:paraId="40AE11D7" w14:textId="77777777" w:rsidR="009856FB" w:rsidRPr="00667361" w:rsidRDefault="00324AB6" w:rsidP="00CF7EA1">
      <w:pPr>
        <w:pStyle w:val="Bullet2"/>
        <w:keepNext w:val="0"/>
        <w:keepLines w:val="0"/>
      </w:pPr>
      <w:bookmarkStart w:id="35" w:name="_Toc288208673"/>
      <w:r w:rsidRPr="00667361">
        <w:t xml:space="preserve">When </w:t>
      </w:r>
      <w:proofErr w:type="gramStart"/>
      <w:r w:rsidRPr="00667361">
        <w:t>entering into</w:t>
      </w:r>
      <w:proofErr w:type="gramEnd"/>
      <w:r w:rsidR="004749D2" w:rsidRPr="00667361">
        <w:t xml:space="preserve"> </w:t>
      </w:r>
      <w:r w:rsidR="00C713C0" w:rsidRPr="00667361">
        <w:t>arrangements</w:t>
      </w:r>
      <w:r w:rsidR="00141DC0" w:rsidRPr="00667361">
        <w:t xml:space="preserve"> to support the provision of </w:t>
      </w:r>
      <w:r w:rsidR="004749D2" w:rsidRPr="00667361">
        <w:t xml:space="preserve">a </w:t>
      </w:r>
      <w:r w:rsidRPr="00667361">
        <w:t xml:space="preserve">joint HDR program, HEPs </w:t>
      </w:r>
      <w:r w:rsidR="00152595" w:rsidRPr="00667361">
        <w:t>should</w:t>
      </w:r>
      <w:r w:rsidRPr="00667361">
        <w:t xml:space="preserve"> formally agree on the </w:t>
      </w:r>
      <w:r w:rsidR="00141DC0" w:rsidRPr="00667361">
        <w:t>general conditions</w:t>
      </w:r>
      <w:r w:rsidRPr="00667361">
        <w:t xml:space="preserve"> </w:t>
      </w:r>
      <w:r w:rsidR="006B72CE" w:rsidRPr="00667361">
        <w:t>that will govern</w:t>
      </w:r>
      <w:r w:rsidRPr="00667361">
        <w:t xml:space="preserve"> </w:t>
      </w:r>
      <w:r w:rsidR="004749D2" w:rsidRPr="00667361">
        <w:t>this</w:t>
      </w:r>
      <w:r w:rsidRPr="00667361">
        <w:t xml:space="preserve"> arrangement</w:t>
      </w:r>
      <w:r w:rsidR="006B72CE" w:rsidRPr="00667361">
        <w:t>, including</w:t>
      </w:r>
      <w:r w:rsidRPr="00667361">
        <w:t xml:space="preserve"> maintaining a duty of care to the student.</w:t>
      </w:r>
      <w:bookmarkEnd w:id="35"/>
      <w:r w:rsidRPr="00667361">
        <w:t xml:space="preserve"> </w:t>
      </w:r>
    </w:p>
    <w:p w14:paraId="70EF441D" w14:textId="77777777" w:rsidR="00C260CB" w:rsidRPr="00A11803" w:rsidRDefault="00152595" w:rsidP="00667361">
      <w:pPr>
        <w:pStyle w:val="Bullet2"/>
      </w:pPr>
      <w:bookmarkStart w:id="36" w:name="_Toc288208674"/>
      <w:r w:rsidRPr="00A11803">
        <w:t>HEPs should define</w:t>
      </w:r>
      <w:r w:rsidR="00324AB6" w:rsidRPr="00A11803">
        <w:t xml:space="preserve"> </w:t>
      </w:r>
      <w:r w:rsidR="00993888" w:rsidRPr="00A11803">
        <w:t>and set out</w:t>
      </w:r>
      <w:r w:rsidRPr="00A11803">
        <w:t xml:space="preserve"> these overarching principles</w:t>
      </w:r>
      <w:r w:rsidR="00993888" w:rsidRPr="00A11803">
        <w:t xml:space="preserve"> </w:t>
      </w:r>
      <w:r w:rsidR="00963B9B" w:rsidRPr="00A11803">
        <w:t xml:space="preserve">in </w:t>
      </w:r>
      <w:r w:rsidR="00034402" w:rsidRPr="00A11803">
        <w:t xml:space="preserve">a </w:t>
      </w:r>
      <w:r w:rsidR="00157EE7" w:rsidRPr="00A11803">
        <w:t xml:space="preserve">Memorandum of Understanding (MoU) </w:t>
      </w:r>
      <w:r w:rsidR="00C8308A" w:rsidRPr="00A11803">
        <w:t xml:space="preserve">between </w:t>
      </w:r>
      <w:r w:rsidR="00993888" w:rsidRPr="00A11803">
        <w:t xml:space="preserve">the relevant </w:t>
      </w:r>
      <w:r w:rsidR="00C8308A" w:rsidRPr="00A11803">
        <w:t>provide</w:t>
      </w:r>
      <w:r w:rsidR="009856FB" w:rsidRPr="00A11803">
        <w:t>rs.</w:t>
      </w:r>
      <w:r w:rsidR="002568B5" w:rsidRPr="00A11803">
        <w:t xml:space="preserve"> </w:t>
      </w:r>
      <w:r w:rsidR="00034402" w:rsidRPr="00A11803">
        <w:t xml:space="preserve">At minimum, the MoU should act as a formal agreement between both HEPs to follow the guidelines contained within when </w:t>
      </w:r>
      <w:proofErr w:type="gramStart"/>
      <w:r w:rsidR="00034402" w:rsidRPr="00A11803">
        <w:t>entering into</w:t>
      </w:r>
      <w:proofErr w:type="gramEnd"/>
      <w:r w:rsidR="00034402" w:rsidRPr="00A11803">
        <w:t xml:space="preserve"> joint HDR arrangements. </w:t>
      </w:r>
      <w:r w:rsidR="00F00CB1" w:rsidRPr="00A11803">
        <w:t xml:space="preserve">HEPs may also choose to make this agreement legally binding. </w:t>
      </w:r>
      <w:r w:rsidR="003B2C35" w:rsidRPr="00A11803">
        <w:t>While in most cases,</w:t>
      </w:r>
      <w:r w:rsidR="00141DC0" w:rsidRPr="00A11803">
        <w:t xml:space="preserve"> </w:t>
      </w:r>
      <w:r w:rsidR="003B2C35" w:rsidRPr="00A11803">
        <w:t xml:space="preserve">the </w:t>
      </w:r>
      <w:r w:rsidR="00736BB0" w:rsidRPr="00A11803">
        <w:t xml:space="preserve">agreed </w:t>
      </w:r>
      <w:r w:rsidR="00141DC0" w:rsidRPr="00A11803">
        <w:t>MoU will only be between two HEPs</w:t>
      </w:r>
      <w:r w:rsidR="003B2C35" w:rsidRPr="00A11803">
        <w:t>,</w:t>
      </w:r>
      <w:r w:rsidR="00141DC0" w:rsidRPr="00A11803">
        <w:t xml:space="preserve"> </w:t>
      </w:r>
      <w:r w:rsidR="003B2C35" w:rsidRPr="00A11803">
        <w:t xml:space="preserve">there may be cases where </w:t>
      </w:r>
      <w:r w:rsidR="00141DC0" w:rsidRPr="00A11803">
        <w:t>HEPs may</w:t>
      </w:r>
      <w:r w:rsidR="003B2C35" w:rsidRPr="00A11803">
        <w:t xml:space="preserve"> </w:t>
      </w:r>
      <w:proofErr w:type="gramStart"/>
      <w:r w:rsidR="00141DC0" w:rsidRPr="00A11803">
        <w:t>enter into</w:t>
      </w:r>
      <w:proofErr w:type="gramEnd"/>
      <w:r w:rsidR="00141DC0" w:rsidRPr="00A11803">
        <w:t xml:space="preserve"> </w:t>
      </w:r>
      <w:r w:rsidR="008979F9" w:rsidRPr="00A11803">
        <w:t>a</w:t>
      </w:r>
      <w:r w:rsidR="00141DC0" w:rsidRPr="00A11803">
        <w:t xml:space="preserve"> MoU with multiple partners.</w:t>
      </w:r>
      <w:bookmarkEnd w:id="36"/>
      <w:r w:rsidR="00141DC0" w:rsidRPr="00A11803">
        <w:t xml:space="preserve"> </w:t>
      </w:r>
    </w:p>
    <w:p w14:paraId="2614F2AA" w14:textId="77777777" w:rsidR="006A45D3" w:rsidRPr="00A11803" w:rsidRDefault="007963AA" w:rsidP="00667361">
      <w:pPr>
        <w:pStyle w:val="Bullet2"/>
      </w:pPr>
      <w:bookmarkStart w:id="37" w:name="_Toc288208675"/>
      <w:r w:rsidRPr="00A11803">
        <w:t>Within the MoU HEP</w:t>
      </w:r>
      <w:r w:rsidR="00763160" w:rsidRPr="00A11803">
        <w:t>s</w:t>
      </w:r>
      <w:r w:rsidRPr="00A11803">
        <w:t xml:space="preserve"> </w:t>
      </w:r>
      <w:r w:rsidR="003B2C35" w:rsidRPr="00A11803">
        <w:t xml:space="preserve">should </w:t>
      </w:r>
      <w:r w:rsidRPr="00A11803">
        <w:t xml:space="preserve">agree to the </w:t>
      </w:r>
      <w:r w:rsidR="003B2C35" w:rsidRPr="00A11803">
        <w:t>following principles:</w:t>
      </w:r>
      <w:bookmarkEnd w:id="37"/>
    </w:p>
    <w:p w14:paraId="0CAE2D6A" w14:textId="77777777" w:rsidR="00B72D02" w:rsidRPr="007A38F7" w:rsidRDefault="006A45D3" w:rsidP="007A38F7">
      <w:pPr>
        <w:pStyle w:val="Bullet4"/>
      </w:pPr>
      <w:bookmarkStart w:id="38" w:name="_Toc288208676"/>
      <w:r w:rsidRPr="007A38F7">
        <w:t xml:space="preserve">The collaborating institutions will jointly award a single degree to a student who </w:t>
      </w:r>
      <w:r w:rsidR="006D5F14" w:rsidRPr="007A38F7">
        <w:t>participates</w:t>
      </w:r>
      <w:r w:rsidR="007963AA" w:rsidRPr="007A38F7">
        <w:t xml:space="preserve"> in a joint </w:t>
      </w:r>
      <w:proofErr w:type="gramStart"/>
      <w:r w:rsidR="007963AA" w:rsidRPr="007A38F7">
        <w:t>HDR;</w:t>
      </w:r>
      <w:bookmarkEnd w:id="38"/>
      <w:proofErr w:type="gramEnd"/>
    </w:p>
    <w:p w14:paraId="11110431" w14:textId="77777777" w:rsidR="00936793" w:rsidRDefault="006D5F14" w:rsidP="007A38F7">
      <w:pPr>
        <w:pStyle w:val="Bullet4"/>
      </w:pPr>
      <w:bookmarkStart w:id="39" w:name="_Toc288208677"/>
      <w:r w:rsidRPr="00A11803">
        <w:t xml:space="preserve">Each institution must arrange for admission of the student in accordance with their own procedures into a PhD </w:t>
      </w:r>
      <w:r w:rsidR="00152595" w:rsidRPr="00A11803">
        <w:t xml:space="preserve">or </w:t>
      </w:r>
      <w:proofErr w:type="gramStart"/>
      <w:r w:rsidR="00152595" w:rsidRPr="00A11803">
        <w:t>Masters</w:t>
      </w:r>
      <w:proofErr w:type="gramEnd"/>
      <w:r w:rsidR="00152595" w:rsidRPr="00A11803">
        <w:t xml:space="preserve"> by Research </w:t>
      </w:r>
      <w:r w:rsidRPr="00A11803">
        <w:t>program.</w:t>
      </w:r>
      <w:r w:rsidR="00C713C0" w:rsidRPr="00A11803">
        <w:t xml:space="preserve"> </w:t>
      </w:r>
      <w:r w:rsidR="008979F9" w:rsidRPr="00A11803">
        <w:t xml:space="preserve">As no element currently exists to capture </w:t>
      </w:r>
      <w:r w:rsidR="003910B3" w:rsidRPr="00A11803">
        <w:t xml:space="preserve">joint </w:t>
      </w:r>
      <w:r w:rsidR="008979F9" w:rsidRPr="00A11803">
        <w:t xml:space="preserve">enrolment status within the </w:t>
      </w:r>
      <w:r w:rsidR="003F5E84" w:rsidRPr="00A11803">
        <w:t>Department of Education, Employment and Workplace Relations</w:t>
      </w:r>
      <w:r w:rsidR="003910B3" w:rsidRPr="00A11803">
        <w:t>’</w:t>
      </w:r>
      <w:r w:rsidR="003F5E84" w:rsidRPr="00A11803">
        <w:t xml:space="preserve"> (DEEWR)</w:t>
      </w:r>
      <w:r w:rsidR="008979F9" w:rsidRPr="00A11803">
        <w:t xml:space="preserve"> Higher Education</w:t>
      </w:r>
      <w:r w:rsidR="003910B3" w:rsidRPr="00A11803">
        <w:t xml:space="preserve"> Information</w:t>
      </w:r>
      <w:r w:rsidR="008979F9" w:rsidRPr="00A11803">
        <w:t xml:space="preserve"> Management System (HEIMS), HEPs are responsible for </w:t>
      </w:r>
      <w:r w:rsidR="003910B3" w:rsidRPr="00A11803">
        <w:t>managing</w:t>
      </w:r>
      <w:r w:rsidR="008979F9" w:rsidRPr="00A11803">
        <w:t xml:space="preserve"> enrolment status</w:t>
      </w:r>
      <w:r w:rsidR="003910B3" w:rsidRPr="00A11803">
        <w:t xml:space="preserve"> and ensuring a joint enrolment is only reported once</w:t>
      </w:r>
      <w:r w:rsidR="008979F9" w:rsidRPr="00A11803">
        <w:t xml:space="preserve">. </w:t>
      </w:r>
      <w:r w:rsidR="00F136BF" w:rsidRPr="00A11803">
        <w:t>T</w:t>
      </w:r>
      <w:r w:rsidR="003910B3" w:rsidRPr="00A11803">
        <w:t>he stude</w:t>
      </w:r>
      <w:r w:rsidR="00A704B4" w:rsidRPr="00A11803">
        <w:t xml:space="preserve">nt </w:t>
      </w:r>
      <w:proofErr w:type="gramStart"/>
      <w:r w:rsidR="00A704B4" w:rsidRPr="00A11803">
        <w:t>should</w:t>
      </w:r>
      <w:r w:rsidR="003910B3" w:rsidRPr="00A11803">
        <w:t xml:space="preserve"> </w:t>
      </w:r>
      <w:r w:rsidR="00A704B4" w:rsidRPr="00A11803">
        <w:t xml:space="preserve"> </w:t>
      </w:r>
      <w:r w:rsidR="003910B3" w:rsidRPr="00A11803">
        <w:t>be</w:t>
      </w:r>
      <w:proofErr w:type="gramEnd"/>
      <w:r w:rsidR="003910B3" w:rsidRPr="00A11803">
        <w:t xml:space="preserve"> </w:t>
      </w:r>
      <w:r w:rsidR="00A704B4" w:rsidRPr="00A11803">
        <w:t>concurrently enrolled at both HEPs</w:t>
      </w:r>
      <w:r w:rsidR="003910B3" w:rsidRPr="00A11803">
        <w:t xml:space="preserve"> during a joint HDR</w:t>
      </w:r>
      <w:r w:rsidR="00E55249" w:rsidRPr="00A11803">
        <w:t>. H</w:t>
      </w:r>
      <w:r w:rsidR="00F00CB1" w:rsidRPr="00A11803">
        <w:t>owever</w:t>
      </w:r>
      <w:r w:rsidR="00E55249" w:rsidRPr="00A11803">
        <w:t>, the student must be</w:t>
      </w:r>
      <w:r w:rsidR="00F00CB1" w:rsidRPr="00A11803">
        <w:t xml:space="preserve"> only active at one institution, while on leave from the second. </w:t>
      </w:r>
      <w:bookmarkStart w:id="40" w:name="_Toc288208678"/>
      <w:bookmarkEnd w:id="39"/>
    </w:p>
    <w:p w14:paraId="54DA869E" w14:textId="77777777" w:rsidR="00E75DB2" w:rsidRPr="007A38F7" w:rsidRDefault="00E75DB2" w:rsidP="007A38F7">
      <w:pPr>
        <w:pStyle w:val="BodyTextIndent"/>
      </w:pPr>
      <w:r w:rsidRPr="007A38F7">
        <w:t xml:space="preserve">Throughout the student’s enrolment, the conditions and regulations pertaining to candidature of the institution at which the student is currently </w:t>
      </w:r>
      <w:r w:rsidR="003910B3" w:rsidRPr="007A38F7">
        <w:t xml:space="preserve">active </w:t>
      </w:r>
      <w:r w:rsidRPr="007A38F7">
        <w:t>should apply. However, in the instance that the conditions of the partnering institution vary, HEPS should identify and resolve thi</w:t>
      </w:r>
      <w:r w:rsidR="007963AA" w:rsidRPr="007A38F7">
        <w:t xml:space="preserve">s in the initial MoU </w:t>
      </w:r>
      <w:proofErr w:type="gramStart"/>
      <w:r w:rsidR="007963AA" w:rsidRPr="007A38F7">
        <w:t>documents;</w:t>
      </w:r>
      <w:bookmarkEnd w:id="40"/>
      <w:proofErr w:type="gramEnd"/>
    </w:p>
    <w:p w14:paraId="5E6B4BCA" w14:textId="77777777" w:rsidR="003C4044" w:rsidRPr="00A11803" w:rsidRDefault="003C4044" w:rsidP="007A38F7">
      <w:pPr>
        <w:pStyle w:val="Bullet4"/>
      </w:pPr>
      <w:bookmarkStart w:id="41" w:name="_Toc288208679"/>
      <w:r w:rsidRPr="00A11803">
        <w:t xml:space="preserve">Both HEPs </w:t>
      </w:r>
      <w:r w:rsidR="003910B3" w:rsidRPr="00A11803">
        <w:t xml:space="preserve">should </w:t>
      </w:r>
      <w:r w:rsidRPr="00A11803">
        <w:t xml:space="preserve">agree on acceptable codes of supervision practice to ensure a duty of care to the student is met. As a </w:t>
      </w:r>
      <w:r w:rsidR="008979F9" w:rsidRPr="00A11803">
        <w:t>minimum</w:t>
      </w:r>
      <w:r w:rsidRPr="00A11803">
        <w:t>, both</w:t>
      </w:r>
      <w:r w:rsidR="00C043D0" w:rsidRPr="00A11803">
        <w:t xml:space="preserve"> HEPs involved in joint HDR arrangements </w:t>
      </w:r>
      <w:r w:rsidR="003910B3" w:rsidRPr="00A11803">
        <w:t xml:space="preserve">should </w:t>
      </w:r>
      <w:r w:rsidR="00C043D0" w:rsidRPr="00A11803">
        <w:t>agree to provide at least one supervisor from each institution for the period of the student’s enrolment.</w:t>
      </w:r>
      <w:bookmarkEnd w:id="41"/>
      <w:r w:rsidR="00C043D0" w:rsidRPr="00A11803">
        <w:t xml:space="preserve"> </w:t>
      </w:r>
    </w:p>
    <w:p w14:paraId="55476FE7" w14:textId="77777777" w:rsidR="006D5F14" w:rsidRPr="00A11803" w:rsidRDefault="006D5F14" w:rsidP="007A38F7">
      <w:pPr>
        <w:pStyle w:val="Bullet4"/>
      </w:pPr>
      <w:bookmarkStart w:id="42" w:name="_Toc288208680"/>
      <w:r w:rsidRPr="00A11803">
        <w:t xml:space="preserve">Each collaborating HEP agrees to </w:t>
      </w:r>
      <w:r w:rsidR="003C4044" w:rsidRPr="00A11803">
        <w:t>ensure</w:t>
      </w:r>
      <w:r w:rsidRPr="00A11803">
        <w:t xml:space="preserve"> a </w:t>
      </w:r>
      <w:r w:rsidR="00263E3C" w:rsidRPr="00A11803">
        <w:t>student</w:t>
      </w:r>
      <w:r w:rsidRPr="00A11803">
        <w:t xml:space="preserve"> enrolled in a joint HDR </w:t>
      </w:r>
      <w:r w:rsidR="003C4044" w:rsidRPr="00A11803">
        <w:t>will have</w:t>
      </w:r>
      <w:r w:rsidRPr="00A11803">
        <w:t xml:space="preserve"> the same level of access</w:t>
      </w:r>
      <w:r w:rsidR="00152595" w:rsidRPr="00A11803">
        <w:t xml:space="preserve"> to facilities enjoyed by other</w:t>
      </w:r>
      <w:r w:rsidRPr="00A11803">
        <w:t xml:space="preserve"> students enrolled at that institution. This </w:t>
      </w:r>
      <w:proofErr w:type="gramStart"/>
      <w:r w:rsidRPr="00A11803">
        <w:t>includes in particular,</w:t>
      </w:r>
      <w:proofErr w:type="gramEnd"/>
      <w:r w:rsidRPr="00A11803">
        <w:t xml:space="preserve"> equivalent access to IT equipment and support.</w:t>
      </w:r>
      <w:bookmarkEnd w:id="42"/>
      <w:r w:rsidRPr="00A11803">
        <w:t xml:space="preserve"> </w:t>
      </w:r>
    </w:p>
    <w:p w14:paraId="309CE3DC" w14:textId="77777777" w:rsidR="00936793" w:rsidRDefault="00564481" w:rsidP="007A38F7">
      <w:pPr>
        <w:pStyle w:val="Bullet4"/>
      </w:pPr>
      <w:bookmarkStart w:id="43" w:name="_Toc288208681"/>
      <w:r w:rsidRPr="00A11803">
        <w:t xml:space="preserve">While the setting of minimum standards is the responsibility of both HEPs during a joint HDR, these standards </w:t>
      </w:r>
      <w:r w:rsidR="003910B3" w:rsidRPr="00A11803">
        <w:t xml:space="preserve">should </w:t>
      </w:r>
      <w:r w:rsidRPr="00A11803">
        <w:t xml:space="preserve">be consistent with guidelines issued by state and territory accrediting bodies, including the Australian Qualifications Framework (AQF) for the receipt of a Masters </w:t>
      </w:r>
      <w:r w:rsidR="003908F5" w:rsidRPr="00A11803">
        <w:t xml:space="preserve">or </w:t>
      </w:r>
      <w:r w:rsidRPr="00A11803">
        <w:t>Doctorate by Research.</w:t>
      </w:r>
      <w:bookmarkStart w:id="44" w:name="_Toc288208682"/>
      <w:bookmarkEnd w:id="43"/>
    </w:p>
    <w:p w14:paraId="0DDE3AD4" w14:textId="77777777" w:rsidR="00564481" w:rsidRPr="00A536EF" w:rsidRDefault="00564481" w:rsidP="007A38F7">
      <w:pPr>
        <w:pStyle w:val="BodyTextIndent"/>
      </w:pPr>
      <w:r w:rsidRPr="00A536EF">
        <w:t xml:space="preserve">AQF standards include the expectation that </w:t>
      </w:r>
      <w:r w:rsidR="003F5E84" w:rsidRPr="00A536EF">
        <w:t>a</w:t>
      </w:r>
      <w:r w:rsidRPr="00A536EF">
        <w:t xml:space="preserve"> thesis will be subject to external examination to international standards</w:t>
      </w:r>
      <w:r w:rsidR="003C4044" w:rsidRPr="00A536EF">
        <w:t>.</w:t>
      </w:r>
      <w:bookmarkEnd w:id="44"/>
      <w:r w:rsidRPr="00A536EF">
        <w:t xml:space="preserve"> </w:t>
      </w:r>
    </w:p>
    <w:p w14:paraId="21838A92" w14:textId="77777777" w:rsidR="00936793" w:rsidRDefault="00564481" w:rsidP="007A38F7">
      <w:pPr>
        <w:pStyle w:val="Bullet4"/>
      </w:pPr>
      <w:bookmarkStart w:id="45" w:name="_Toc288208683"/>
      <w:r w:rsidRPr="00A11803">
        <w:t>Students must be</w:t>
      </w:r>
      <w:r w:rsidR="00D33861" w:rsidRPr="00A11803">
        <w:t xml:space="preserve"> granted </w:t>
      </w:r>
      <w:r w:rsidRPr="00A11803">
        <w:t>access to grievance procedures at the institution in which they are undertaking their current unit of study. The student should also be able to address grievances to their primary institution.</w:t>
      </w:r>
      <w:bookmarkEnd w:id="45"/>
      <w:r w:rsidRPr="00A11803">
        <w:t xml:space="preserve"> </w:t>
      </w:r>
      <w:bookmarkStart w:id="46" w:name="_Toc288208684"/>
    </w:p>
    <w:p w14:paraId="4E67B551" w14:textId="77777777" w:rsidR="00936793" w:rsidRDefault="00564481" w:rsidP="007A38F7">
      <w:pPr>
        <w:pStyle w:val="BodyTextIndent"/>
      </w:pPr>
      <w:r w:rsidRPr="00A11803">
        <w:t>To address concerns of research misconduct and student grievances, HEPs are encouraged to establish a cross-institution program committee. The committee should include representatives from both providers and agree consequences for instances of misconduct and processes to resolve student grievances.</w:t>
      </w:r>
      <w:bookmarkEnd w:id="46"/>
      <w:r w:rsidRPr="00A11803">
        <w:t xml:space="preserve"> </w:t>
      </w:r>
    </w:p>
    <w:p w14:paraId="7BA3B9B1" w14:textId="77777777" w:rsidR="003908F5" w:rsidRPr="00A11803" w:rsidRDefault="003908F5" w:rsidP="007A38F7">
      <w:pPr>
        <w:pStyle w:val="BodyTextIndent"/>
      </w:pPr>
      <w:r w:rsidRPr="00A11803">
        <w:t xml:space="preserve">HEPs should specify with </w:t>
      </w:r>
      <w:proofErr w:type="gramStart"/>
      <w:r w:rsidRPr="00A11803">
        <w:t>students</w:t>
      </w:r>
      <w:proofErr w:type="gramEnd"/>
      <w:r w:rsidRPr="00A11803">
        <w:t xml:space="preserve"> specific processes for the submission of grievances and instances of misconduct between the parties involved.</w:t>
      </w:r>
    </w:p>
    <w:p w14:paraId="5317B043" w14:textId="77777777" w:rsidR="00936793" w:rsidRDefault="003F47A3" w:rsidP="007A38F7">
      <w:pPr>
        <w:pStyle w:val="Bullet4"/>
      </w:pPr>
      <w:bookmarkStart w:id="47" w:name="_Toc288208685"/>
      <w:r w:rsidRPr="00A11803">
        <w:t xml:space="preserve">HEPs must agree </w:t>
      </w:r>
      <w:r w:rsidR="003C4044" w:rsidRPr="00A11803">
        <w:t xml:space="preserve">to jointly </w:t>
      </w:r>
      <w:r w:rsidRPr="00A11803">
        <w:t>determine an</w:t>
      </w:r>
      <w:r w:rsidR="00147251" w:rsidRPr="00A11803">
        <w:t xml:space="preserve">d report on the proportion of a </w:t>
      </w:r>
      <w:r w:rsidR="003C4044" w:rsidRPr="00A11803">
        <w:t xml:space="preserve">successful </w:t>
      </w:r>
      <w:r w:rsidR="00147251" w:rsidRPr="00A11803">
        <w:t>completion</w:t>
      </w:r>
      <w:r w:rsidR="003C4044" w:rsidRPr="00A11803">
        <w:t xml:space="preserve"> from a </w:t>
      </w:r>
      <w:r w:rsidR="00147251" w:rsidRPr="00A11803">
        <w:t>joint HDR.</w:t>
      </w:r>
      <w:bookmarkEnd w:id="47"/>
      <w:r w:rsidR="00147251" w:rsidRPr="00A11803">
        <w:t xml:space="preserve"> </w:t>
      </w:r>
      <w:bookmarkStart w:id="48" w:name="_Toc288208686"/>
    </w:p>
    <w:p w14:paraId="4ED1E902" w14:textId="77777777" w:rsidR="00936793" w:rsidRDefault="00973B52" w:rsidP="007A38F7">
      <w:pPr>
        <w:pStyle w:val="BodyTextIndent"/>
      </w:pPr>
      <w:r w:rsidRPr="00936793">
        <w:t xml:space="preserve">Proportional completions are to be reported yearly as part of all completions reported within the Higher Education Student Data Collection (HESDC) to </w:t>
      </w:r>
      <w:r w:rsidR="003F5E84" w:rsidRPr="00936793">
        <w:t>DEEWR</w:t>
      </w:r>
      <w:r w:rsidRPr="00936793">
        <w:t>.</w:t>
      </w:r>
      <w:bookmarkEnd w:id="48"/>
      <w:r w:rsidRPr="00936793">
        <w:t xml:space="preserve"> </w:t>
      </w:r>
      <w:bookmarkStart w:id="49" w:name="_Toc288208687"/>
    </w:p>
    <w:p w14:paraId="65E4D66E" w14:textId="77777777" w:rsidR="00936793" w:rsidRDefault="00973B52" w:rsidP="007A38F7">
      <w:pPr>
        <w:pStyle w:val="BodyTextIndent"/>
      </w:pPr>
      <w:r w:rsidRPr="00A11803">
        <w:t>From 2012, a new element (578) will be added for reporting to the HESDC, for past course completions submissions. This element will identify the percentage of a course completion in a joint degree that is attributable to each institution.</w:t>
      </w:r>
      <w:bookmarkEnd w:id="49"/>
      <w:r w:rsidRPr="00A11803">
        <w:t xml:space="preserve"> </w:t>
      </w:r>
      <w:bookmarkStart w:id="50" w:name="_Toc288208688"/>
    </w:p>
    <w:p w14:paraId="17031899" w14:textId="77777777" w:rsidR="00936793" w:rsidRDefault="00973B52" w:rsidP="007A38F7">
      <w:pPr>
        <w:pStyle w:val="BodyTextIndent"/>
      </w:pPr>
      <w:r w:rsidRPr="00A11803">
        <w:t xml:space="preserve">HEPs will be required to report this element for the first time in 2013, reporting on 2012 data. </w:t>
      </w:r>
      <w:bookmarkEnd w:id="50"/>
    </w:p>
    <w:p w14:paraId="6CD368DD" w14:textId="77777777" w:rsidR="00400A38" w:rsidRDefault="00B82EE0" w:rsidP="007A38F7">
      <w:pPr>
        <w:pStyle w:val="BodyTextIndent"/>
      </w:pPr>
      <w:r w:rsidRPr="00A11803">
        <w:t xml:space="preserve">Two new elements have been proposed for introduction from 2013 on the Course of Study submission. These will identify joint degrees and partner institutions with whom they are offered. </w:t>
      </w:r>
      <w:bookmarkStart w:id="51" w:name="_Toc288208689"/>
    </w:p>
    <w:p w14:paraId="056AEAD6" w14:textId="77777777" w:rsidR="00853EAD" w:rsidRDefault="00973B52" w:rsidP="007A38F7">
      <w:pPr>
        <w:pStyle w:val="BodyTextIndentEmphasize"/>
      </w:pPr>
      <w:r w:rsidRPr="00853EAD">
        <w:t>(F</w:t>
      </w:r>
      <w:r w:rsidR="00B82EE0" w:rsidRPr="00853EAD">
        <w:t>or</w:t>
      </w:r>
      <w:r w:rsidRPr="00853EAD">
        <w:t xml:space="preserve"> 2012, where a percentage of a course completion is reported, DEEWR will administratively follow up with providers to identify the partner institution offering a joint degree and the course of study for which the completion has been awarded).</w:t>
      </w:r>
      <w:bookmarkEnd w:id="51"/>
      <w:r w:rsidRPr="00853EAD">
        <w:t xml:space="preserve"> </w:t>
      </w:r>
      <w:bookmarkStart w:id="52" w:name="_Toc288208690"/>
    </w:p>
    <w:p w14:paraId="71BFD3A7" w14:textId="77777777" w:rsidR="00113102" w:rsidRPr="00A11803" w:rsidRDefault="00113102" w:rsidP="007A38F7">
      <w:pPr>
        <w:pStyle w:val="Bullet4"/>
        <w:keepLines w:val="0"/>
      </w:pPr>
      <w:r w:rsidRPr="00A11803">
        <w:t xml:space="preserve">HEPs must agree that </w:t>
      </w:r>
      <w:r w:rsidR="003F5E84" w:rsidRPr="00A11803">
        <w:t>up</w:t>
      </w:r>
      <w:r w:rsidRPr="00A11803">
        <w:t>on completion of a joint HD</w:t>
      </w:r>
      <w:r w:rsidR="006258EC" w:rsidRPr="00A11803">
        <w:t>R,</w:t>
      </w:r>
      <w:r w:rsidRPr="00A11803">
        <w:t xml:space="preserve"> students</w:t>
      </w:r>
      <w:r w:rsidR="006258EC" w:rsidRPr="00A11803">
        <w:t xml:space="preserve"> </w:t>
      </w:r>
      <w:r w:rsidRPr="00A11803">
        <w:t xml:space="preserve">will be </w:t>
      </w:r>
      <w:bookmarkEnd w:id="52"/>
      <w:r w:rsidR="00341276" w:rsidRPr="00A11803">
        <w:t>conferred a single degree under a joint HDR program</w:t>
      </w:r>
      <w:r w:rsidR="006258EC" w:rsidRPr="00A11803">
        <w:t xml:space="preserve"> </w:t>
      </w:r>
      <w:r w:rsidR="00341276" w:rsidRPr="00A11803">
        <w:t xml:space="preserve">between both institutions. </w:t>
      </w:r>
    </w:p>
    <w:p w14:paraId="6727AB8C" w14:textId="77777777" w:rsidR="00147251" w:rsidRPr="00A11803" w:rsidRDefault="00D33861" w:rsidP="007A38F7">
      <w:pPr>
        <w:pStyle w:val="Bullet2"/>
        <w:keepNext w:val="0"/>
        <w:keepLines w:val="0"/>
      </w:pPr>
      <w:bookmarkStart w:id="53" w:name="_Toc288208691"/>
      <w:r w:rsidRPr="00A11803">
        <w:t>E</w:t>
      </w:r>
      <w:r w:rsidR="00AC14BF" w:rsidRPr="00A11803">
        <w:t>ach collaborative joint HDR programme establish</w:t>
      </w:r>
      <w:r w:rsidR="002E48C1" w:rsidRPr="00A11803">
        <w:t xml:space="preserve">ed under the terms of the MoU, </w:t>
      </w:r>
      <w:r w:rsidR="00AC14BF" w:rsidRPr="00A11803">
        <w:t xml:space="preserve">must be subjected to the conditions of a separate </w:t>
      </w:r>
      <w:r w:rsidR="002E48C1" w:rsidRPr="00A11803">
        <w:t>individual</w:t>
      </w:r>
      <w:r w:rsidR="00AC14BF" w:rsidRPr="00A11803">
        <w:t xml:space="preserve"> </w:t>
      </w:r>
      <w:r w:rsidR="002E48C1" w:rsidRPr="00A11803">
        <w:t>student a</w:t>
      </w:r>
      <w:r w:rsidR="00AC14BF" w:rsidRPr="00A11803">
        <w:t xml:space="preserve">greement between the institutions concerned. Specific items for inclusion or detailed clarification in the </w:t>
      </w:r>
      <w:r w:rsidR="002E48C1" w:rsidRPr="00A11803">
        <w:t>agreement</w:t>
      </w:r>
      <w:r w:rsidR="00AC14BF" w:rsidRPr="00A11803">
        <w:t xml:space="preserve"> would (as a minimum) include the items covered in</w:t>
      </w:r>
      <w:r w:rsidR="00B60BD2" w:rsidRPr="00A11803">
        <w:t xml:space="preserve"> the MoU and detailed in this section</w:t>
      </w:r>
      <w:r w:rsidRPr="00A11803">
        <w:t>.</w:t>
      </w:r>
      <w:bookmarkEnd w:id="53"/>
    </w:p>
    <w:p w14:paraId="77ECF9B1" w14:textId="77777777" w:rsidR="00936793" w:rsidRDefault="00B60BD2" w:rsidP="007A38F7">
      <w:pPr>
        <w:pStyle w:val="Bullet4"/>
        <w:keepNext/>
      </w:pPr>
      <w:bookmarkStart w:id="54" w:name="_Toc288208692"/>
      <w:r w:rsidRPr="00A11803">
        <w:t xml:space="preserve">Prior to engagement in a Joint HDR arrangement, HEPs must agree and define which provider will act as the primary or ‘home’ institution for the student. </w:t>
      </w:r>
      <w:r w:rsidR="002E48C1" w:rsidRPr="00A11803">
        <w:t xml:space="preserve">In most cases, DIISR expects that the primary institution will be the institution in which the student spends </w:t>
      </w:r>
      <w:r w:rsidR="00152595" w:rsidRPr="00A11803">
        <w:t>the</w:t>
      </w:r>
      <w:r w:rsidR="002E48C1" w:rsidRPr="00A11803">
        <w:t xml:space="preserve"> greater p</w:t>
      </w:r>
      <w:bookmarkEnd w:id="54"/>
      <w:r w:rsidR="00152595" w:rsidRPr="00A11803">
        <w:t>roportion of their study.</w:t>
      </w:r>
      <w:bookmarkStart w:id="55" w:name="_Toc288208693"/>
    </w:p>
    <w:p w14:paraId="5933E15A" w14:textId="77777777" w:rsidR="00B60BD2" w:rsidRPr="00936793" w:rsidRDefault="00B60BD2" w:rsidP="007A38F7">
      <w:pPr>
        <w:pStyle w:val="BodyTextIndent"/>
        <w:keepNext/>
        <w:keepLines/>
      </w:pPr>
      <w:r w:rsidRPr="00936793">
        <w:t xml:space="preserve">HEPs </w:t>
      </w:r>
      <w:r w:rsidR="00D33861" w:rsidRPr="00936793">
        <w:t>should aim to</w:t>
      </w:r>
      <w:r w:rsidRPr="00936793">
        <w:t xml:space="preserve"> identify the amount of time that the student will spend at each HEP throughout the course of their HDR. </w:t>
      </w:r>
      <w:r w:rsidR="003F5E84" w:rsidRPr="00936793">
        <w:t>Where possible, an</w:t>
      </w:r>
      <w:r w:rsidRPr="00936793">
        <w:t xml:space="preserve"> indicative timetable that identifies the enrolment time to be spent at each HEP should be submitted to both providers for agreement prior to </w:t>
      </w:r>
      <w:r w:rsidR="003908F5" w:rsidRPr="00936793">
        <w:t xml:space="preserve">commencement of </w:t>
      </w:r>
      <w:r w:rsidRPr="00936793">
        <w:t>candidature.</w:t>
      </w:r>
      <w:bookmarkEnd w:id="55"/>
      <w:r w:rsidRPr="00936793">
        <w:t xml:space="preserve"> </w:t>
      </w:r>
    </w:p>
    <w:p w14:paraId="365922D2" w14:textId="77777777" w:rsidR="00B60BD2" w:rsidRPr="00A11803" w:rsidRDefault="00B60BD2" w:rsidP="007A38F7">
      <w:pPr>
        <w:pStyle w:val="Bullet4"/>
      </w:pPr>
      <w:bookmarkStart w:id="56" w:name="_Toc288208694"/>
      <w:r w:rsidRPr="00A11803">
        <w:t xml:space="preserve">Both HEPs </w:t>
      </w:r>
      <w:r w:rsidR="00726096" w:rsidRPr="00A11803">
        <w:t>must indicate the process that will be used to</w:t>
      </w:r>
      <w:r w:rsidRPr="00A11803">
        <w:t xml:space="preserve"> ensuring the student’s leave entitlements are calculated and apportioned accurately.</w:t>
      </w:r>
      <w:bookmarkEnd w:id="56"/>
      <w:r w:rsidRPr="00A11803">
        <w:t xml:space="preserve"> </w:t>
      </w:r>
    </w:p>
    <w:p w14:paraId="1499A610" w14:textId="77777777" w:rsidR="00B60BD2" w:rsidRPr="00A11803" w:rsidRDefault="00B60BD2" w:rsidP="007A38F7">
      <w:pPr>
        <w:pStyle w:val="Bullet4"/>
      </w:pPr>
      <w:bookmarkStart w:id="57" w:name="_Toc288208695"/>
      <w:r w:rsidRPr="00A11803">
        <w:t>The financial arrangements between collaborating institutions for tuition fees, student support and exam</w:t>
      </w:r>
      <w:r w:rsidR="002E48C1" w:rsidRPr="00A11803">
        <w:t>inations should be stated within each individual agreement</w:t>
      </w:r>
      <w:r w:rsidRPr="00A11803">
        <w:t>.</w:t>
      </w:r>
      <w:bookmarkEnd w:id="57"/>
      <w:r w:rsidRPr="00A11803">
        <w:t xml:space="preserve"> </w:t>
      </w:r>
    </w:p>
    <w:p w14:paraId="65846A22" w14:textId="77777777" w:rsidR="00B60BD2" w:rsidRPr="00A11803" w:rsidRDefault="00B60BD2" w:rsidP="007A38F7">
      <w:pPr>
        <w:pStyle w:val="BodyTextIndent"/>
      </w:pPr>
      <w:bookmarkStart w:id="58" w:name="_Toc288208696"/>
      <w:r w:rsidRPr="00A11803">
        <w:t xml:space="preserve">During a joint HDR, each HEP is responsible for meeting the training costs for the student, for the </w:t>
      </w:r>
      <w:proofErr w:type="gramStart"/>
      <w:r w:rsidRPr="00A11803">
        <w:t>period of time</w:t>
      </w:r>
      <w:proofErr w:type="gramEnd"/>
      <w:r w:rsidRPr="00A11803">
        <w:t xml:space="preserve"> at which they are enrolled at their institution.</w:t>
      </w:r>
      <w:bookmarkEnd w:id="58"/>
    </w:p>
    <w:p w14:paraId="23E88EA4" w14:textId="77777777" w:rsidR="00B60BD2" w:rsidRPr="00A11803" w:rsidRDefault="00B60BD2" w:rsidP="007A38F7">
      <w:pPr>
        <w:pStyle w:val="BodyTextIndent"/>
      </w:pPr>
      <w:bookmarkStart w:id="59" w:name="_Toc288208697"/>
      <w:r w:rsidRPr="00A11803">
        <w:t xml:space="preserve">Within an individual arrangement, HEPs </w:t>
      </w:r>
      <w:r w:rsidR="00152595" w:rsidRPr="00A11803">
        <w:t>should</w:t>
      </w:r>
      <w:r w:rsidRPr="00A11803">
        <w:t xml:space="preserve"> specify the </w:t>
      </w:r>
      <w:r w:rsidR="00D33861" w:rsidRPr="00A11803">
        <w:t xml:space="preserve">training </w:t>
      </w:r>
      <w:r w:rsidRPr="00A11803">
        <w:t xml:space="preserve">that </w:t>
      </w:r>
      <w:r w:rsidR="00D33861" w:rsidRPr="00A11803">
        <w:t>w</w:t>
      </w:r>
      <w:r w:rsidRPr="00A11803">
        <w:t>ill be provided by each HEP</w:t>
      </w:r>
      <w:r w:rsidR="00D33861" w:rsidRPr="00A11803">
        <w:t>. E</w:t>
      </w:r>
      <w:r w:rsidRPr="00A11803">
        <w:t xml:space="preserve">ach institution is responsible for ensuring </w:t>
      </w:r>
      <w:r w:rsidR="00D33861" w:rsidRPr="00A11803">
        <w:t xml:space="preserve">that they </w:t>
      </w:r>
      <w:proofErr w:type="gramStart"/>
      <w:r w:rsidR="00D33861" w:rsidRPr="00A11803">
        <w:t>are able to</w:t>
      </w:r>
      <w:proofErr w:type="gramEnd"/>
      <w:r w:rsidR="00D33861" w:rsidRPr="00A11803">
        <w:t xml:space="preserve"> meet the costs of the</w:t>
      </w:r>
      <w:r w:rsidRPr="00A11803">
        <w:t xml:space="preserve"> training of the student.</w:t>
      </w:r>
      <w:bookmarkEnd w:id="59"/>
      <w:r w:rsidRPr="00A11803">
        <w:t xml:space="preserve"> </w:t>
      </w:r>
    </w:p>
    <w:p w14:paraId="2BB4FFD2" w14:textId="77777777" w:rsidR="00B60BD2" w:rsidRPr="00A11803" w:rsidRDefault="00B60BD2" w:rsidP="007A38F7">
      <w:pPr>
        <w:pStyle w:val="BodyTextIndent"/>
      </w:pPr>
      <w:bookmarkStart w:id="60" w:name="_Toc288208698"/>
      <w:r w:rsidRPr="00A11803">
        <w:t>HEPs are responsible for recovering this funding either directly from the student, or through their Research Training Scheme (RTS) entitlement. Conditions relating to domestic RTS, fee-paying and international students are detailed further below.</w:t>
      </w:r>
      <w:bookmarkEnd w:id="60"/>
    </w:p>
    <w:p w14:paraId="59C6F7C0" w14:textId="77777777" w:rsidR="00B60BD2" w:rsidRPr="00A536EF" w:rsidRDefault="00B60BD2" w:rsidP="007A38F7">
      <w:pPr>
        <w:pStyle w:val="BodyTextIndentIntenseEmphasis"/>
      </w:pPr>
      <w:bookmarkStart w:id="61" w:name="_Toc288208699"/>
      <w:r w:rsidRPr="00A536EF">
        <w:t>Domestic Commonwealth-assisted (RTS) students</w:t>
      </w:r>
      <w:bookmarkEnd w:id="61"/>
    </w:p>
    <w:p w14:paraId="411B6022" w14:textId="77777777" w:rsidR="00B60BD2" w:rsidRPr="00A536EF" w:rsidRDefault="00B60BD2" w:rsidP="007A38F7">
      <w:pPr>
        <w:pStyle w:val="BodyTextIndent"/>
      </w:pPr>
      <w:bookmarkStart w:id="62" w:name="_Toc288208700"/>
      <w:r w:rsidRPr="00A536EF">
        <w:t xml:space="preserve">Under joint HDR arrangements, in the instance that a student has been allocated a Research Training Scheme (RTS) funded place, both HEPs are responsible for </w:t>
      </w:r>
      <w:r w:rsidR="00152595" w:rsidRPr="00A536EF">
        <w:t>meeting</w:t>
      </w:r>
      <w:r w:rsidR="00D33861" w:rsidRPr="00A536EF">
        <w:t xml:space="preserve"> the appropriate proportion of the costs of training through their RTS allocation.</w:t>
      </w:r>
      <w:r w:rsidR="00152595" w:rsidRPr="00A536EF">
        <w:t xml:space="preserve"> </w:t>
      </w:r>
      <w:r w:rsidRPr="00A536EF">
        <w:t xml:space="preserve">The amount of </w:t>
      </w:r>
      <w:r w:rsidR="00152595" w:rsidRPr="00A536EF">
        <w:t xml:space="preserve">support </w:t>
      </w:r>
      <w:r w:rsidRPr="00A536EF">
        <w:t xml:space="preserve">provided by each HEP should be </w:t>
      </w:r>
      <w:r w:rsidR="00152595" w:rsidRPr="00A536EF">
        <w:t>commensurate with the proportional completion reported to DEEWR (see 4.</w:t>
      </w:r>
      <w:r w:rsidR="003908F5" w:rsidRPr="00A536EF">
        <w:t>3</w:t>
      </w:r>
      <w:r w:rsidR="00152595" w:rsidRPr="00A536EF">
        <w:t>.7)</w:t>
      </w:r>
      <w:bookmarkEnd w:id="62"/>
      <w:r w:rsidR="00152595" w:rsidRPr="00A536EF">
        <w:t>.</w:t>
      </w:r>
    </w:p>
    <w:p w14:paraId="5243DAF5" w14:textId="77777777" w:rsidR="00B60BD2" w:rsidRPr="00A11803" w:rsidRDefault="00B60BD2" w:rsidP="007A38F7">
      <w:pPr>
        <w:pStyle w:val="BodyTextIndent"/>
      </w:pPr>
      <w:bookmarkStart w:id="63" w:name="_Toc288208701"/>
      <w:r w:rsidRPr="00A11803">
        <w:t xml:space="preserve">Due to the proportional reporting of completions following the student’s graduation, HEPs will be </w:t>
      </w:r>
      <w:r w:rsidR="00152595" w:rsidRPr="00A11803">
        <w:t>recompensed</w:t>
      </w:r>
      <w:r w:rsidRPr="00A11803">
        <w:t xml:space="preserve"> for this investment in the student’s research training, through the allocation of RTS </w:t>
      </w:r>
      <w:bookmarkEnd w:id="63"/>
      <w:r w:rsidR="00152595" w:rsidRPr="00A11803">
        <w:t xml:space="preserve">funding. </w:t>
      </w:r>
      <w:r w:rsidRPr="00A11803">
        <w:t xml:space="preserve"> </w:t>
      </w:r>
    </w:p>
    <w:p w14:paraId="1033C458" w14:textId="77777777" w:rsidR="00B60BD2" w:rsidRPr="00A11803" w:rsidRDefault="00B60BD2" w:rsidP="007A38F7">
      <w:pPr>
        <w:pStyle w:val="BodyTextIndent"/>
      </w:pPr>
      <w:bookmarkStart w:id="64" w:name="_Toc288208702"/>
      <w:r w:rsidRPr="00A11803">
        <w:t xml:space="preserve">HEPs are also responsible for ensuring that a student does not exceed their maximum entitlements for RTS funding </w:t>
      </w:r>
      <w:r w:rsidR="00152595" w:rsidRPr="00A11803">
        <w:t>(i.e.</w:t>
      </w:r>
      <w:r w:rsidRPr="00A11803">
        <w:t xml:space="preserve"> a maximum of two years funding for a </w:t>
      </w:r>
      <w:proofErr w:type="gramStart"/>
      <w:r w:rsidRPr="00A11803">
        <w:t>Masters</w:t>
      </w:r>
      <w:proofErr w:type="gramEnd"/>
      <w:r w:rsidRPr="00A11803">
        <w:t xml:space="preserve"> by Research and four years for a </w:t>
      </w:r>
      <w:r w:rsidR="00D33861" w:rsidRPr="00A11803">
        <w:t xml:space="preserve">Research </w:t>
      </w:r>
      <w:r w:rsidRPr="00A11803">
        <w:t>Doctorate</w:t>
      </w:r>
      <w:r w:rsidR="00152595" w:rsidRPr="00A11803">
        <w:t>)</w:t>
      </w:r>
      <w:r w:rsidRPr="00A11803">
        <w:t>.</w:t>
      </w:r>
      <w:bookmarkEnd w:id="64"/>
      <w:r w:rsidRPr="00A11803">
        <w:t xml:space="preserve"> </w:t>
      </w:r>
    </w:p>
    <w:p w14:paraId="2D00278E" w14:textId="77777777" w:rsidR="007A38F7" w:rsidRDefault="007A38F7" w:rsidP="007A38F7">
      <w:pPr>
        <w:pStyle w:val="BodyTextIndentIntenseEmphasis"/>
      </w:pPr>
      <w:bookmarkStart w:id="65" w:name="_Toc288208703"/>
    </w:p>
    <w:p w14:paraId="79FA4647" w14:textId="77777777" w:rsidR="00B60BD2" w:rsidRPr="00A536EF" w:rsidRDefault="00B60BD2" w:rsidP="007A38F7">
      <w:pPr>
        <w:pStyle w:val="BodyTextIndentIntenseEmphasis"/>
      </w:pPr>
      <w:r w:rsidRPr="00A536EF">
        <w:t>Domestic and International Fee-paying students</w:t>
      </w:r>
      <w:bookmarkEnd w:id="65"/>
    </w:p>
    <w:p w14:paraId="11670DE1" w14:textId="77777777" w:rsidR="00B60BD2" w:rsidRPr="00A11803" w:rsidRDefault="00B60BD2" w:rsidP="007A38F7">
      <w:pPr>
        <w:pStyle w:val="BodyTextIndent"/>
      </w:pPr>
      <w:bookmarkStart w:id="66" w:name="_Toc288208704"/>
      <w:r w:rsidRPr="00A11803">
        <w:t xml:space="preserve">HEPs are responsible for recovering the costs of </w:t>
      </w:r>
      <w:proofErr w:type="gramStart"/>
      <w:r w:rsidRPr="00A11803">
        <w:t>full-fee</w:t>
      </w:r>
      <w:proofErr w:type="gramEnd"/>
      <w:r w:rsidRPr="00A11803">
        <w:t xml:space="preserve"> paying domestic and international students throughout the course of a joint HDR. Within the </w:t>
      </w:r>
      <w:r w:rsidR="002E48C1" w:rsidRPr="00A11803">
        <w:t>individual agreement</w:t>
      </w:r>
      <w:r w:rsidRPr="00A11803">
        <w:t xml:space="preserve">, HEPs </w:t>
      </w:r>
      <w:r w:rsidR="00152595" w:rsidRPr="00A11803">
        <w:t>should specify</w:t>
      </w:r>
      <w:r w:rsidRPr="00A11803">
        <w:t xml:space="preserve"> the fees that will be paid to each HEP by the student.</w:t>
      </w:r>
      <w:bookmarkEnd w:id="66"/>
      <w:r w:rsidRPr="00A11803">
        <w:t xml:space="preserve"> </w:t>
      </w:r>
    </w:p>
    <w:p w14:paraId="398C1C6C" w14:textId="77777777" w:rsidR="004D6884" w:rsidRPr="00A536EF" w:rsidRDefault="00B60BD2" w:rsidP="007A38F7">
      <w:pPr>
        <w:pStyle w:val="Bullet4"/>
      </w:pPr>
      <w:bookmarkStart w:id="67" w:name="_Toc288208705"/>
      <w:r w:rsidRPr="00A536EF">
        <w:t xml:space="preserve">Funding for Australian Postgraduate Awards (APA) and International Postgraduate Research Scholarships (IPRS) is provided on a per place basis from the Commonwealth to each HEP. This funding is provided over </w:t>
      </w:r>
      <w:proofErr w:type="gramStart"/>
      <w:r w:rsidRPr="00A536EF">
        <w:t>a number of</w:t>
      </w:r>
      <w:proofErr w:type="gramEnd"/>
      <w:r w:rsidRPr="00A536EF">
        <w:t xml:space="preserve"> years to ensure that funds are available for scholarships and stipends for the dura</w:t>
      </w:r>
      <w:r w:rsidR="000D23C5" w:rsidRPr="00A536EF">
        <w:t>tion of a student’s HDR study.</w:t>
      </w:r>
      <w:bookmarkEnd w:id="67"/>
      <w:r w:rsidR="000D23C5" w:rsidRPr="00A536EF">
        <w:t xml:space="preserve"> </w:t>
      </w:r>
    </w:p>
    <w:p w14:paraId="4F2B311A" w14:textId="77777777" w:rsidR="00B60BD2" w:rsidRPr="00A11803" w:rsidRDefault="00B60BD2" w:rsidP="007A38F7">
      <w:pPr>
        <w:pStyle w:val="BodyTextIndent"/>
      </w:pPr>
      <w:bookmarkStart w:id="68" w:name="_Toc288208706"/>
      <w:r w:rsidRPr="00A11803">
        <w:t xml:space="preserve">As per the current Commonwealth Scholarship Guidelines (CSG) (section 2.15.10) HEPs are obligated to support as many APAs as they can support through its APA grant, </w:t>
      </w:r>
      <w:proofErr w:type="gramStart"/>
      <w:r w:rsidRPr="00A11803">
        <w:t>taking into account</w:t>
      </w:r>
      <w:proofErr w:type="gramEnd"/>
      <w:r w:rsidRPr="00A11803">
        <w:t xml:space="preserve"> any roll-over of grant amounts as provided for in section 46-35 of the Act.</w:t>
      </w:r>
      <w:bookmarkEnd w:id="68"/>
      <w:r w:rsidRPr="00A11803">
        <w:t xml:space="preserve"> </w:t>
      </w:r>
    </w:p>
    <w:p w14:paraId="4707926E" w14:textId="77777777" w:rsidR="00B60BD2" w:rsidRPr="00A11803" w:rsidRDefault="00B60BD2" w:rsidP="007A38F7">
      <w:pPr>
        <w:pStyle w:val="BodyTextIndent"/>
      </w:pPr>
      <w:bookmarkStart w:id="69" w:name="_Toc288208707"/>
      <w:r w:rsidRPr="00A11803">
        <w:t xml:space="preserve">Within </w:t>
      </w:r>
      <w:r w:rsidR="00152595" w:rsidRPr="00A11803">
        <w:t xml:space="preserve">the </w:t>
      </w:r>
      <w:r w:rsidR="000D23C5" w:rsidRPr="00A11803">
        <w:t>individual</w:t>
      </w:r>
      <w:r w:rsidR="00152595" w:rsidRPr="00A11803">
        <w:t xml:space="preserve"> student</w:t>
      </w:r>
      <w:r w:rsidR="000D23C5" w:rsidRPr="00A11803">
        <w:t xml:space="preserve"> agreement </w:t>
      </w:r>
      <w:r w:rsidRPr="00A11803">
        <w:t>HEPs are required to specify which HEP will fund a student</w:t>
      </w:r>
      <w:r w:rsidR="00D33861" w:rsidRPr="00A11803">
        <w:t>’</w:t>
      </w:r>
      <w:r w:rsidRPr="00A11803">
        <w:t xml:space="preserve">s APA and/or IPRS funding, should the student be eligible. </w:t>
      </w:r>
      <w:r w:rsidR="00152595" w:rsidRPr="00A11803">
        <w:t>I</w:t>
      </w:r>
      <w:r w:rsidRPr="00A11803">
        <w:t xml:space="preserve">n the majority of </w:t>
      </w:r>
      <w:proofErr w:type="gramStart"/>
      <w:r w:rsidRPr="00A11803">
        <w:t>instances</w:t>
      </w:r>
      <w:proofErr w:type="gramEnd"/>
      <w:r w:rsidRPr="00A11803">
        <w:t xml:space="preserve"> the primary HEP will fund the entire scholarship payment for the student. This simplifies funding arrangements by allowing one HEP to fund the total APA or IPRS consistent with funding provided by DIISR, for up </w:t>
      </w:r>
      <w:r w:rsidR="000D23C5" w:rsidRPr="00A11803">
        <w:t>to 3 years of full-time study.</w:t>
      </w:r>
      <w:bookmarkEnd w:id="69"/>
      <w:r w:rsidR="000D23C5" w:rsidRPr="00A11803">
        <w:t xml:space="preserve"> </w:t>
      </w:r>
    </w:p>
    <w:p w14:paraId="08895397" w14:textId="77777777" w:rsidR="00B60BD2" w:rsidRPr="00A11803" w:rsidRDefault="00B60BD2" w:rsidP="007A38F7">
      <w:pPr>
        <w:pStyle w:val="BodyTextIndent"/>
      </w:pPr>
      <w:bookmarkStart w:id="70" w:name="_Toc288208708"/>
      <w:r w:rsidRPr="00A11803">
        <w:t xml:space="preserve">It is the responsibility of the primary HEP to recover </w:t>
      </w:r>
      <w:r w:rsidR="00152595" w:rsidRPr="00A11803">
        <w:t xml:space="preserve">an appropriate proportion of funding </w:t>
      </w:r>
      <w:r w:rsidRPr="00A11803">
        <w:t>from the partnering HEP</w:t>
      </w:r>
      <w:r w:rsidR="00152595" w:rsidRPr="00A11803">
        <w:t xml:space="preserve"> for the time that </w:t>
      </w:r>
      <w:r w:rsidR="008363BD" w:rsidRPr="00A11803">
        <w:t xml:space="preserve">the student is </w:t>
      </w:r>
      <w:r w:rsidR="00152595" w:rsidRPr="00A11803">
        <w:t>enrolled at that institution</w:t>
      </w:r>
      <w:r w:rsidRPr="00A11803">
        <w:t xml:space="preserve">. HEPs should specify processes for the recovery of funding for scholarship funding within their </w:t>
      </w:r>
      <w:proofErr w:type="spellStart"/>
      <w:r w:rsidRPr="00A11803">
        <w:t>MoUs</w:t>
      </w:r>
      <w:proofErr w:type="spellEnd"/>
      <w:r w:rsidRPr="00A11803">
        <w:t xml:space="preserve">. Through the sharing and reporting of proportional completions once the student completes, both HEPs will be </w:t>
      </w:r>
      <w:r w:rsidR="00152595" w:rsidRPr="00A11803">
        <w:t>recompensed</w:t>
      </w:r>
      <w:r w:rsidRPr="00A11803">
        <w:t xml:space="preserve"> for this investment through </w:t>
      </w:r>
      <w:r w:rsidR="003F5E84" w:rsidRPr="00A11803">
        <w:t xml:space="preserve">subsequent </w:t>
      </w:r>
      <w:r w:rsidRPr="00A11803">
        <w:t>research block grant allocations.</w:t>
      </w:r>
      <w:bookmarkEnd w:id="70"/>
      <w:r w:rsidRPr="00A11803">
        <w:t xml:space="preserve">  </w:t>
      </w:r>
    </w:p>
    <w:p w14:paraId="1758823A" w14:textId="77777777" w:rsidR="00B60BD2" w:rsidRPr="00A11803" w:rsidRDefault="00B60BD2" w:rsidP="007A38F7">
      <w:pPr>
        <w:pStyle w:val="BodyTextIndent"/>
      </w:pPr>
      <w:bookmarkStart w:id="71" w:name="_Toc288208709"/>
      <w:r w:rsidRPr="00A11803">
        <w:t>Other incidental fees including health cover (for non IPRS holders), travel and associated costs, accommodation and personal expenses are the responsibility of the candidate.</w:t>
      </w:r>
      <w:bookmarkEnd w:id="71"/>
    </w:p>
    <w:p w14:paraId="3988B1A7" w14:textId="77777777" w:rsidR="007963AA" w:rsidRPr="00A11803" w:rsidRDefault="007963AA" w:rsidP="007A38F7">
      <w:pPr>
        <w:pStyle w:val="Bullet4"/>
      </w:pPr>
      <w:bookmarkStart w:id="72" w:name="_Toc288208710"/>
      <w:r w:rsidRPr="00A11803">
        <w:t xml:space="preserve">Specific supervisory arrangements including the proportion of time each supervisor will spend with a student </w:t>
      </w:r>
      <w:r w:rsidR="008363BD" w:rsidRPr="00A11803">
        <w:t>should</w:t>
      </w:r>
      <w:r w:rsidRPr="00A11803">
        <w:t xml:space="preserve"> be specified in the student’s individual agr</w:t>
      </w:r>
      <w:r w:rsidR="000D23C5" w:rsidRPr="00A11803">
        <w:t>eement with the HEPs</w:t>
      </w:r>
      <w:r w:rsidRPr="00A11803">
        <w:t>.</w:t>
      </w:r>
      <w:bookmarkEnd w:id="72"/>
    </w:p>
    <w:p w14:paraId="4C14318D" w14:textId="77777777" w:rsidR="00E51A73" w:rsidRPr="00A11803" w:rsidRDefault="000D23C5" w:rsidP="007A38F7">
      <w:pPr>
        <w:pStyle w:val="Bullet4"/>
      </w:pPr>
      <w:bookmarkStart w:id="73" w:name="_Toc288208711"/>
      <w:bookmarkStart w:id="74" w:name="_Toc284935094"/>
      <w:r w:rsidRPr="00A11803">
        <w:t xml:space="preserve">HEPs should specify with </w:t>
      </w:r>
      <w:proofErr w:type="gramStart"/>
      <w:r w:rsidRPr="00A11803">
        <w:t>students</w:t>
      </w:r>
      <w:proofErr w:type="gramEnd"/>
      <w:r w:rsidRPr="00A11803">
        <w:t xml:space="preserve"> specific processes for the submission of grievances and instances of misconduct between the parties involved.</w:t>
      </w:r>
      <w:bookmarkEnd w:id="73"/>
      <w:r w:rsidRPr="00A11803">
        <w:t xml:space="preserve"> </w:t>
      </w:r>
      <w:bookmarkEnd w:id="74"/>
    </w:p>
    <w:p w14:paraId="3DBDDEEA" w14:textId="77777777" w:rsidR="004D6884" w:rsidRPr="00A11803" w:rsidRDefault="004D6884" w:rsidP="007A38F7">
      <w:pPr>
        <w:pStyle w:val="Bullet4"/>
        <w:keepNext/>
      </w:pPr>
      <w:bookmarkStart w:id="75" w:name="_Toc288208712"/>
      <w:r w:rsidRPr="00A11803">
        <w:t xml:space="preserve">HEPs must identify </w:t>
      </w:r>
      <w:r w:rsidR="00FD4CEC" w:rsidRPr="00A11803">
        <w:t xml:space="preserve">either </w:t>
      </w:r>
      <w:r w:rsidRPr="00A11803">
        <w:t xml:space="preserve">the proportion of the </w:t>
      </w:r>
      <w:r w:rsidR="008979F9" w:rsidRPr="00A11803">
        <w:t>completion</w:t>
      </w:r>
      <w:r w:rsidRPr="00A11803">
        <w:t xml:space="preserve"> that will be counted</w:t>
      </w:r>
      <w:r w:rsidR="00FD4CEC" w:rsidRPr="00A11803">
        <w:t xml:space="preserve"> by each HEP, </w:t>
      </w:r>
      <w:r w:rsidRPr="00A11803">
        <w:t>or an agreed transparent method for calculating this proportion once the student completes their award.</w:t>
      </w:r>
      <w:bookmarkEnd w:id="75"/>
      <w:r w:rsidRPr="00A11803">
        <w:t xml:space="preserve"> </w:t>
      </w:r>
    </w:p>
    <w:p w14:paraId="381D980A" w14:textId="77777777" w:rsidR="004D6884" w:rsidRPr="00A11803" w:rsidRDefault="004D6884" w:rsidP="007A38F7">
      <w:pPr>
        <w:pStyle w:val="BodyTextIndent"/>
        <w:keepNext/>
        <w:keepLines/>
      </w:pPr>
      <w:bookmarkStart w:id="76" w:name="_Toc288208713"/>
      <w:r w:rsidRPr="00A11803">
        <w:t xml:space="preserve">HEPs </w:t>
      </w:r>
      <w:r w:rsidR="003D0E0F" w:rsidRPr="00A11803">
        <w:t xml:space="preserve">should </w:t>
      </w:r>
      <w:r w:rsidRPr="00A11803">
        <w:t>determine the proportion of a completion through the attributable effort of each HEP in the research training of the student, toward a successful completion.</w:t>
      </w:r>
      <w:bookmarkEnd w:id="76"/>
      <w:r w:rsidRPr="00A11803">
        <w:t xml:space="preserve"> </w:t>
      </w:r>
    </w:p>
    <w:p w14:paraId="625E9A16" w14:textId="77777777" w:rsidR="004D6884" w:rsidRPr="00936793" w:rsidRDefault="004D6884" w:rsidP="007A38F7">
      <w:pPr>
        <w:pStyle w:val="BodyTextIndent"/>
        <w:rPr>
          <w:rStyle w:val="EmphasizeChar"/>
          <w:bCs w:val="0"/>
        </w:rPr>
      </w:pPr>
      <w:bookmarkStart w:id="77" w:name="_Toc288208714"/>
      <w:r w:rsidRPr="00A11803">
        <w:t>Primarily, this should reflect the time enrolled by the student at each HEP. However, HEPs may also negotiate any differing costs reflective of supervisory, infrastructure, project or scholarship costs provided by each HEP.</w:t>
      </w:r>
      <w:r w:rsidR="00FD4CEC" w:rsidRPr="00A11803">
        <w:t xml:space="preserve"> </w:t>
      </w:r>
      <w:r w:rsidR="00FD4CEC" w:rsidRPr="00853EAD">
        <w:rPr>
          <w:rStyle w:val="EmphasizeChar"/>
        </w:rPr>
        <w:t>In all instances, t</w:t>
      </w:r>
      <w:r w:rsidRPr="00853EAD">
        <w:rPr>
          <w:rStyle w:val="EmphasizeChar"/>
        </w:rPr>
        <w:t>he combined value of any completion in the report</w:t>
      </w:r>
      <w:r w:rsidR="0012600A" w:rsidRPr="00853EAD">
        <w:rPr>
          <w:rStyle w:val="EmphasizeChar"/>
        </w:rPr>
        <w:t>ed</w:t>
      </w:r>
      <w:r w:rsidRPr="00853EAD">
        <w:rPr>
          <w:rStyle w:val="EmphasizeChar"/>
        </w:rPr>
        <w:t xml:space="preserve"> must not exceed one.</w:t>
      </w:r>
      <w:bookmarkEnd w:id="77"/>
    </w:p>
    <w:p w14:paraId="624A31C1" w14:textId="77777777" w:rsidR="00082DE5" w:rsidRPr="00A11803" w:rsidRDefault="00082DE5" w:rsidP="007A38F7">
      <w:pPr>
        <w:pStyle w:val="Bullet4"/>
      </w:pPr>
      <w:bookmarkStart w:id="78" w:name="_Toc284934604"/>
      <w:bookmarkStart w:id="79" w:name="_Toc284935040"/>
      <w:bookmarkStart w:id="80" w:name="_Toc284935105"/>
      <w:bookmarkStart w:id="81" w:name="P115_5107"/>
      <w:bookmarkStart w:id="82" w:name="_Toc284935107"/>
      <w:bookmarkStart w:id="83" w:name="_Toc288208715"/>
      <w:bookmarkEnd w:id="78"/>
      <w:bookmarkEnd w:id="79"/>
      <w:bookmarkEnd w:id="80"/>
      <w:bookmarkEnd w:id="81"/>
      <w:bookmarkEnd w:id="82"/>
      <w:r w:rsidRPr="00A11803">
        <w:t>Both HEPs are responsible for negotiating and defining rights to the intellectual property of</w:t>
      </w:r>
      <w:r w:rsidR="003908F5" w:rsidRPr="00A11803">
        <w:t xml:space="preserve"> research undertaken by</w:t>
      </w:r>
      <w:r w:rsidRPr="00A11803">
        <w:t xml:space="preserve"> </w:t>
      </w:r>
      <w:r w:rsidR="00F00CB1" w:rsidRPr="00A11803">
        <w:t xml:space="preserve">a </w:t>
      </w:r>
      <w:r w:rsidRPr="00A11803">
        <w:t>joint HDR student</w:t>
      </w:r>
      <w:r w:rsidR="00F00CB1" w:rsidRPr="00A11803">
        <w:t xml:space="preserve"> throughout their</w:t>
      </w:r>
      <w:r w:rsidR="00B94DA0" w:rsidRPr="00A11803">
        <w:t xml:space="preserve"> degree. Arrangements for Copyright and intellectual property should be defined </w:t>
      </w:r>
      <w:r w:rsidR="00D22EDC" w:rsidRPr="00A11803">
        <w:t xml:space="preserve">within </w:t>
      </w:r>
      <w:r w:rsidR="007B78C0" w:rsidRPr="00A11803">
        <w:t>individual student agreements</w:t>
      </w:r>
      <w:r w:rsidR="003908F5" w:rsidRPr="00A11803">
        <w:t xml:space="preserve"> prior to enrolment</w:t>
      </w:r>
      <w:r w:rsidR="00B94DA0" w:rsidRPr="00A11803">
        <w:t xml:space="preserve"> and HEPs are responsible for ensuring e</w:t>
      </w:r>
      <w:r w:rsidRPr="00A11803">
        <w:t>vidence of any agreement reache</w:t>
      </w:r>
      <w:r w:rsidR="00B94DA0" w:rsidRPr="00A11803">
        <w:t>d between the two institutions is retained</w:t>
      </w:r>
      <w:r w:rsidRPr="00A11803">
        <w:t>.</w:t>
      </w:r>
      <w:bookmarkEnd w:id="83"/>
    </w:p>
    <w:p w14:paraId="5363AB4E" w14:textId="77777777" w:rsidR="00C56747" w:rsidRPr="00A11803" w:rsidRDefault="00C56747" w:rsidP="007A38F7">
      <w:pPr>
        <w:pStyle w:val="BodyTextIndent"/>
      </w:pPr>
      <w:bookmarkStart w:id="84" w:name="_Toc288208716"/>
      <w:r w:rsidRPr="00A11803">
        <w:t xml:space="preserve">DIISR recommends that IP arrangements between HEPs should be flexible and structured to ensure that the allocation of IP rights appropriately considers the capabilities, contributions and obligations and risks of each HEP and </w:t>
      </w:r>
      <w:r w:rsidR="00BD55BE" w:rsidRPr="00A11803">
        <w:t xml:space="preserve">the </w:t>
      </w:r>
      <w:r w:rsidRPr="00A11803">
        <w:t xml:space="preserve">student in </w:t>
      </w:r>
      <w:r w:rsidR="00BD55BE" w:rsidRPr="00A11803">
        <w:t xml:space="preserve">such </w:t>
      </w:r>
      <w:r w:rsidRPr="00A11803">
        <w:t>arrangement</w:t>
      </w:r>
      <w:r w:rsidR="00BD55BE" w:rsidRPr="00A11803">
        <w:t>s</w:t>
      </w:r>
      <w:r w:rsidRPr="00A11803">
        <w:t>.</w:t>
      </w:r>
      <w:bookmarkEnd w:id="84"/>
      <w:r w:rsidRPr="00A11803">
        <w:t xml:space="preserve"> </w:t>
      </w:r>
    </w:p>
    <w:p w14:paraId="31AFA248" w14:textId="77777777" w:rsidR="007F7ACB" w:rsidRPr="00A11803" w:rsidRDefault="0012600A" w:rsidP="007A38F7">
      <w:pPr>
        <w:pStyle w:val="BodyTextIndent"/>
      </w:pPr>
      <w:bookmarkStart w:id="85" w:name="_Toc288208717"/>
      <w:r w:rsidRPr="00A11803">
        <w:t>B</w:t>
      </w:r>
      <w:r w:rsidR="00C56747" w:rsidRPr="00A11803">
        <w:t>oth HEPs should consider the balance between the intellectual contributions being made to the project and the resource contributions provided by each HEP and the student. IP arrangements should fairly represent these contributions and provide options ranging from either one or the other HEP primarily owning the IP rights in co</w:t>
      </w:r>
      <w:r w:rsidR="00BD55BE" w:rsidRPr="00A11803">
        <w:t>njunction with the student</w:t>
      </w:r>
      <w:r w:rsidR="00C56747" w:rsidRPr="00A11803">
        <w:t>.</w:t>
      </w:r>
      <w:bookmarkEnd w:id="85"/>
      <w:r w:rsidR="00C56747" w:rsidRPr="00A11803">
        <w:t xml:space="preserve"> </w:t>
      </w:r>
    </w:p>
    <w:sectPr w:rsidR="007F7ACB" w:rsidRPr="00A11803" w:rsidSect="008C4BEC">
      <w:footerReference w:type="even" r:id="rId11"/>
      <w:footerReference w:type="default" r:id="rId12"/>
      <w:pgSz w:w="11906" w:h="16838"/>
      <w:pgMar w:top="1361"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4B69" w14:textId="77777777" w:rsidR="00823EFF" w:rsidRDefault="00823EFF">
      <w:r>
        <w:separator/>
      </w:r>
    </w:p>
  </w:endnote>
  <w:endnote w:type="continuationSeparator" w:id="0">
    <w:p w14:paraId="78719C52" w14:textId="77777777" w:rsidR="00823EFF" w:rsidRDefault="0082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0AF47" w14:textId="77777777" w:rsidR="00341276" w:rsidRDefault="00341276" w:rsidP="00895D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6122D6" w14:textId="77777777" w:rsidR="00341276" w:rsidRDefault="00341276" w:rsidP="00895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B981" w14:textId="77777777" w:rsidR="00341276" w:rsidRDefault="00341276" w:rsidP="00895D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43B0">
      <w:rPr>
        <w:rStyle w:val="PageNumber"/>
        <w:noProof/>
      </w:rPr>
      <w:t>9</w:t>
    </w:r>
    <w:r>
      <w:rPr>
        <w:rStyle w:val="PageNumber"/>
      </w:rPr>
      <w:fldChar w:fldCharType="end"/>
    </w:r>
  </w:p>
  <w:p w14:paraId="1A07400A" w14:textId="77777777" w:rsidR="00341276" w:rsidRDefault="00341276" w:rsidP="00895DD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B596C" w14:textId="77777777" w:rsidR="00823EFF" w:rsidRDefault="00823EFF">
      <w:r>
        <w:separator/>
      </w:r>
    </w:p>
  </w:footnote>
  <w:footnote w:type="continuationSeparator" w:id="0">
    <w:p w14:paraId="651530CB" w14:textId="77777777" w:rsidR="00823EFF" w:rsidRDefault="00823EFF">
      <w:r>
        <w:continuationSeparator/>
      </w:r>
    </w:p>
  </w:footnote>
  <w:footnote w:id="1">
    <w:p w14:paraId="19ADAD9A" w14:textId="77777777" w:rsidR="00624A55" w:rsidRDefault="00341276" w:rsidP="006F1131">
      <w:pPr>
        <w:pStyle w:val="FootnoteText"/>
      </w:pPr>
      <w:r>
        <w:rPr>
          <w:rStyle w:val="FootnoteReference"/>
        </w:rPr>
        <w:footnoteRef/>
      </w:r>
      <w:r>
        <w:t>DIISR expects that in the majority of instances, a joint HDR student will be “on leave” from one HEP while active at the other. Guidelines for enrolment processes are outlined at Section 4.3.2.</w:t>
      </w:r>
    </w:p>
  </w:footnote>
  <w:footnote w:id="2">
    <w:p w14:paraId="36E9AD03" w14:textId="77777777" w:rsidR="00624A55" w:rsidRDefault="00341276">
      <w:pPr>
        <w:pStyle w:val="FootnoteText"/>
      </w:pPr>
      <w:r w:rsidRPr="00050C3B">
        <w:rPr>
          <w:rStyle w:val="FootnoteReference"/>
          <w:sz w:val="18"/>
          <w:szCs w:val="18"/>
        </w:rPr>
        <w:footnoteRef/>
      </w:r>
      <w:r w:rsidRPr="00050C3B">
        <w:rPr>
          <w:sz w:val="18"/>
          <w:szCs w:val="18"/>
        </w:rPr>
        <w:t xml:space="preserve"> As defined within the </w:t>
      </w:r>
      <w:r w:rsidRPr="00050C3B">
        <w:rPr>
          <w:i/>
          <w:sz w:val="18"/>
          <w:szCs w:val="18"/>
        </w:rPr>
        <w:t>Higher Education Support Act 2003</w:t>
      </w:r>
    </w:p>
  </w:footnote>
  <w:footnote w:id="3">
    <w:p w14:paraId="3D9F0B2E" w14:textId="77777777" w:rsidR="00624A55" w:rsidRDefault="00341276">
      <w:pPr>
        <w:pStyle w:val="FootnoteText"/>
      </w:pPr>
      <w:r w:rsidRPr="00050C3B">
        <w:rPr>
          <w:rStyle w:val="FootnoteReference"/>
          <w:sz w:val="18"/>
          <w:szCs w:val="18"/>
        </w:rPr>
        <w:footnoteRef/>
      </w:r>
      <w:r w:rsidRPr="00050C3B">
        <w:rPr>
          <w:sz w:val="18"/>
          <w:szCs w:val="18"/>
        </w:rPr>
        <w:t xml:space="preserve"> Refers to “Overseas Students” as defined in the </w:t>
      </w:r>
      <w:r w:rsidRPr="00050C3B">
        <w:rPr>
          <w:i/>
          <w:sz w:val="18"/>
          <w:szCs w:val="18"/>
        </w:rPr>
        <w:t>Higher Education Support Act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3B2CB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08272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39886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F26B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0443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4A8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AEB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9E71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501F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A629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981"/>
    <w:multiLevelType w:val="multilevel"/>
    <w:tmpl w:val="54C8EEDC"/>
    <w:lvl w:ilvl="0">
      <w:start w:val="1"/>
      <w:numFmt w:val="decimal"/>
      <w:pStyle w:val="Bullet1"/>
      <w:lvlText w:val="%1"/>
      <w:lvlJc w:val="left"/>
      <w:pPr>
        <w:tabs>
          <w:tab w:val="num" w:pos="432"/>
        </w:tabs>
        <w:ind w:left="432" w:hanging="432"/>
      </w:pPr>
      <w:rPr>
        <w:rFonts w:cs="Times New Roman" w:hint="default"/>
      </w:rPr>
    </w:lvl>
    <w:lvl w:ilvl="1">
      <w:start w:val="1"/>
      <w:numFmt w:val="decimal"/>
      <w:pStyle w:val="Bullet2"/>
      <w:lvlText w:val="%1.%2"/>
      <w:lvlJc w:val="left"/>
      <w:pPr>
        <w:tabs>
          <w:tab w:val="num" w:pos="576"/>
        </w:tabs>
        <w:ind w:left="576" w:hanging="576"/>
      </w:pPr>
      <w:rPr>
        <w:rFonts w:cs="Times New Roman" w:hint="default"/>
      </w:rPr>
    </w:lvl>
    <w:lvl w:ilvl="2">
      <w:start w:val="1"/>
      <w:numFmt w:val="decimal"/>
      <w:pStyle w:val="Bullet4"/>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1" w15:restartNumberingAfterBreak="0">
    <w:nsid w:val="25473DCC"/>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7DB4669"/>
    <w:multiLevelType w:val="multilevel"/>
    <w:tmpl w:val="AEA4801A"/>
    <w:lvl w:ilvl="0">
      <w:start w:val="1"/>
      <w:numFmt w:val="bullet"/>
      <w:pStyle w:val="Bullet3"/>
      <w:lvlText w:val="­"/>
      <w:lvlJc w:val="left"/>
      <w:pPr>
        <w:tabs>
          <w:tab w:val="num" w:pos="1512"/>
        </w:tabs>
        <w:ind w:left="1512" w:hanging="360"/>
      </w:pPr>
      <w:rPr>
        <w:rFonts w:ascii="Albertus Extra Bold" w:hAnsi="Albertus Extra Bold" w:hint="default"/>
      </w:rPr>
    </w:lvl>
    <w:lvl w:ilvl="1">
      <w:start w:val="1"/>
      <w:numFmt w:val="decimal"/>
      <w:lvlText w:val="%1.%2."/>
      <w:lvlJc w:val="left"/>
      <w:pPr>
        <w:tabs>
          <w:tab w:val="num" w:pos="1944"/>
        </w:tabs>
        <w:ind w:left="1944" w:hanging="432"/>
      </w:pPr>
      <w:rPr>
        <w:rFonts w:cs="Times New Roman"/>
      </w:rPr>
    </w:lvl>
    <w:lvl w:ilvl="2">
      <w:start w:val="1"/>
      <w:numFmt w:val="decimal"/>
      <w:lvlText w:val="%1.%2.%3."/>
      <w:lvlJc w:val="left"/>
      <w:pPr>
        <w:tabs>
          <w:tab w:val="num" w:pos="2592"/>
        </w:tabs>
        <w:ind w:left="2376" w:hanging="504"/>
      </w:pPr>
      <w:rPr>
        <w:rFonts w:cs="Times New Roman"/>
      </w:rPr>
    </w:lvl>
    <w:lvl w:ilvl="3">
      <w:start w:val="1"/>
      <w:numFmt w:val="decimal"/>
      <w:lvlText w:val="%1.%2.%3.%4."/>
      <w:lvlJc w:val="left"/>
      <w:pPr>
        <w:tabs>
          <w:tab w:val="num" w:pos="2952"/>
        </w:tabs>
        <w:ind w:left="2880" w:hanging="648"/>
      </w:pPr>
      <w:rPr>
        <w:rFonts w:cs="Times New Roman"/>
      </w:rPr>
    </w:lvl>
    <w:lvl w:ilvl="4">
      <w:start w:val="1"/>
      <w:numFmt w:val="decimal"/>
      <w:lvlText w:val="%1.%2.%3.%4.%5."/>
      <w:lvlJc w:val="left"/>
      <w:pPr>
        <w:tabs>
          <w:tab w:val="num" w:pos="3672"/>
        </w:tabs>
        <w:ind w:left="3384" w:hanging="792"/>
      </w:pPr>
      <w:rPr>
        <w:rFonts w:cs="Times New Roman"/>
      </w:rPr>
    </w:lvl>
    <w:lvl w:ilvl="5">
      <w:start w:val="1"/>
      <w:numFmt w:val="decimal"/>
      <w:lvlText w:val="%1.%2.%3.%4.%5.%6."/>
      <w:lvlJc w:val="left"/>
      <w:pPr>
        <w:tabs>
          <w:tab w:val="num" w:pos="4032"/>
        </w:tabs>
        <w:ind w:left="3888" w:hanging="936"/>
      </w:pPr>
      <w:rPr>
        <w:rFonts w:cs="Times New Roman"/>
      </w:rPr>
    </w:lvl>
    <w:lvl w:ilvl="6">
      <w:start w:val="1"/>
      <w:numFmt w:val="decimal"/>
      <w:lvlText w:val="%1.%2.%3.%4.%5.%6.%7."/>
      <w:lvlJc w:val="left"/>
      <w:pPr>
        <w:tabs>
          <w:tab w:val="num" w:pos="4752"/>
        </w:tabs>
        <w:ind w:left="4392" w:hanging="1080"/>
      </w:pPr>
      <w:rPr>
        <w:rFonts w:cs="Times New Roman"/>
      </w:rPr>
    </w:lvl>
    <w:lvl w:ilvl="7">
      <w:start w:val="1"/>
      <w:numFmt w:val="decimal"/>
      <w:lvlText w:val="%1.%2.%3.%4.%5.%6.%7.%8."/>
      <w:lvlJc w:val="left"/>
      <w:pPr>
        <w:tabs>
          <w:tab w:val="num" w:pos="5112"/>
        </w:tabs>
        <w:ind w:left="4896" w:hanging="1224"/>
      </w:pPr>
      <w:rPr>
        <w:rFonts w:cs="Times New Roman"/>
      </w:rPr>
    </w:lvl>
    <w:lvl w:ilvl="8">
      <w:start w:val="1"/>
      <w:numFmt w:val="decimal"/>
      <w:lvlText w:val="%1.%2.%3.%4.%5.%6.%7.%8.%9."/>
      <w:lvlJc w:val="left"/>
      <w:pPr>
        <w:tabs>
          <w:tab w:val="num" w:pos="5832"/>
        </w:tabs>
        <w:ind w:left="5472" w:hanging="1440"/>
      </w:pPr>
      <w:rPr>
        <w:rFonts w:cs="Times New Roman"/>
      </w:rPr>
    </w:lvl>
  </w:abstractNum>
  <w:abstractNum w:abstractNumId="13" w15:restartNumberingAfterBreak="0">
    <w:nsid w:val="45435E94"/>
    <w:multiLevelType w:val="multilevel"/>
    <w:tmpl w:val="835CFB5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86C5D9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5A716576"/>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FF44CD6"/>
    <w:multiLevelType w:val="multilevel"/>
    <w:tmpl w:val="D4FAFC9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4351E4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701C66"/>
    <w:multiLevelType w:val="multilevel"/>
    <w:tmpl w:val="309C59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92E391F"/>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04967219">
    <w:abstractNumId w:val="16"/>
  </w:num>
  <w:num w:numId="2" w16cid:durableId="1895504571">
    <w:abstractNumId w:val="14"/>
  </w:num>
  <w:num w:numId="3" w16cid:durableId="1094400849">
    <w:abstractNumId w:val="18"/>
  </w:num>
  <w:num w:numId="4" w16cid:durableId="777066608">
    <w:abstractNumId w:val="12"/>
  </w:num>
  <w:num w:numId="5" w16cid:durableId="1236940451">
    <w:abstractNumId w:val="15"/>
  </w:num>
  <w:num w:numId="6" w16cid:durableId="179855796">
    <w:abstractNumId w:val="18"/>
  </w:num>
  <w:num w:numId="7" w16cid:durableId="2102329637">
    <w:abstractNumId w:val="16"/>
  </w:num>
  <w:num w:numId="8" w16cid:durableId="875703657">
    <w:abstractNumId w:val="13"/>
  </w:num>
  <w:num w:numId="9" w16cid:durableId="133761153">
    <w:abstractNumId w:val="10"/>
  </w:num>
  <w:num w:numId="10" w16cid:durableId="1680352551">
    <w:abstractNumId w:val="9"/>
  </w:num>
  <w:num w:numId="11" w16cid:durableId="1047484347">
    <w:abstractNumId w:val="7"/>
  </w:num>
  <w:num w:numId="12" w16cid:durableId="210726390">
    <w:abstractNumId w:val="6"/>
  </w:num>
  <w:num w:numId="13" w16cid:durableId="579103592">
    <w:abstractNumId w:val="5"/>
  </w:num>
  <w:num w:numId="14" w16cid:durableId="754277394">
    <w:abstractNumId w:val="4"/>
  </w:num>
  <w:num w:numId="15" w16cid:durableId="2144108375">
    <w:abstractNumId w:val="8"/>
  </w:num>
  <w:num w:numId="16" w16cid:durableId="1605992182">
    <w:abstractNumId w:val="3"/>
  </w:num>
  <w:num w:numId="17" w16cid:durableId="158160634">
    <w:abstractNumId w:val="2"/>
  </w:num>
  <w:num w:numId="18" w16cid:durableId="54859568">
    <w:abstractNumId w:val="1"/>
  </w:num>
  <w:num w:numId="19" w16cid:durableId="1697845696">
    <w:abstractNumId w:val="0"/>
  </w:num>
  <w:num w:numId="20" w16cid:durableId="1300452640">
    <w:abstractNumId w:val="11"/>
  </w:num>
  <w:num w:numId="21" w16cid:durableId="739132798">
    <w:abstractNumId w:val="19"/>
  </w:num>
  <w:num w:numId="22" w16cid:durableId="20367362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defaultTabStop w:val="720"/>
  <w:defaultTableStyle w:val="Table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CB"/>
    <w:rsid w:val="000117BB"/>
    <w:rsid w:val="00013291"/>
    <w:rsid w:val="000243B0"/>
    <w:rsid w:val="00025924"/>
    <w:rsid w:val="000270E6"/>
    <w:rsid w:val="00034402"/>
    <w:rsid w:val="000345CE"/>
    <w:rsid w:val="00050C3B"/>
    <w:rsid w:val="00054079"/>
    <w:rsid w:val="000566A7"/>
    <w:rsid w:val="000567F5"/>
    <w:rsid w:val="00061031"/>
    <w:rsid w:val="00061C3D"/>
    <w:rsid w:val="00074B40"/>
    <w:rsid w:val="00082DE5"/>
    <w:rsid w:val="00086E18"/>
    <w:rsid w:val="000925D7"/>
    <w:rsid w:val="00093798"/>
    <w:rsid w:val="000A5097"/>
    <w:rsid w:val="000A7039"/>
    <w:rsid w:val="000D1462"/>
    <w:rsid w:val="000D23C5"/>
    <w:rsid w:val="000D6E62"/>
    <w:rsid w:val="0010733C"/>
    <w:rsid w:val="00113102"/>
    <w:rsid w:val="001147B5"/>
    <w:rsid w:val="00122D41"/>
    <w:rsid w:val="0012600A"/>
    <w:rsid w:val="00131058"/>
    <w:rsid w:val="00132C9C"/>
    <w:rsid w:val="00132E2C"/>
    <w:rsid w:val="00140921"/>
    <w:rsid w:val="001415B8"/>
    <w:rsid w:val="00141B0C"/>
    <w:rsid w:val="00141DC0"/>
    <w:rsid w:val="00144D3C"/>
    <w:rsid w:val="00147251"/>
    <w:rsid w:val="0015232F"/>
    <w:rsid w:val="00152595"/>
    <w:rsid w:val="0015586D"/>
    <w:rsid w:val="00156148"/>
    <w:rsid w:val="00157EE7"/>
    <w:rsid w:val="00186142"/>
    <w:rsid w:val="00192153"/>
    <w:rsid w:val="001945A5"/>
    <w:rsid w:val="001A72FF"/>
    <w:rsid w:val="001B2A12"/>
    <w:rsid w:val="001B2DF4"/>
    <w:rsid w:val="001C4368"/>
    <w:rsid w:val="001C4433"/>
    <w:rsid w:val="001E2DDC"/>
    <w:rsid w:val="001F76B1"/>
    <w:rsid w:val="00217EB1"/>
    <w:rsid w:val="00220FB8"/>
    <w:rsid w:val="002220CA"/>
    <w:rsid w:val="00222274"/>
    <w:rsid w:val="00222B20"/>
    <w:rsid w:val="002302FA"/>
    <w:rsid w:val="002342BB"/>
    <w:rsid w:val="00236AA2"/>
    <w:rsid w:val="0024250A"/>
    <w:rsid w:val="00246FBF"/>
    <w:rsid w:val="002568B5"/>
    <w:rsid w:val="00263E3C"/>
    <w:rsid w:val="00264CBB"/>
    <w:rsid w:val="00267D7A"/>
    <w:rsid w:val="0027490D"/>
    <w:rsid w:val="00285D2D"/>
    <w:rsid w:val="00292E7C"/>
    <w:rsid w:val="002A07C5"/>
    <w:rsid w:val="002A5B67"/>
    <w:rsid w:val="002B7323"/>
    <w:rsid w:val="002E48C1"/>
    <w:rsid w:val="002F1587"/>
    <w:rsid w:val="002F24E2"/>
    <w:rsid w:val="0031657E"/>
    <w:rsid w:val="00324AB6"/>
    <w:rsid w:val="00325477"/>
    <w:rsid w:val="00326095"/>
    <w:rsid w:val="00341276"/>
    <w:rsid w:val="00356DB7"/>
    <w:rsid w:val="00366052"/>
    <w:rsid w:val="00377418"/>
    <w:rsid w:val="0038515D"/>
    <w:rsid w:val="00385F2E"/>
    <w:rsid w:val="003908F5"/>
    <w:rsid w:val="003910B3"/>
    <w:rsid w:val="00393004"/>
    <w:rsid w:val="00394ABF"/>
    <w:rsid w:val="00395AB9"/>
    <w:rsid w:val="003A416C"/>
    <w:rsid w:val="003B2C35"/>
    <w:rsid w:val="003B5F92"/>
    <w:rsid w:val="003C3D8B"/>
    <w:rsid w:val="003C4044"/>
    <w:rsid w:val="003D0193"/>
    <w:rsid w:val="003D0E0F"/>
    <w:rsid w:val="003D2551"/>
    <w:rsid w:val="003E09E4"/>
    <w:rsid w:val="003E3B3B"/>
    <w:rsid w:val="003E3EEF"/>
    <w:rsid w:val="003E74E6"/>
    <w:rsid w:val="003F07BC"/>
    <w:rsid w:val="003F47A3"/>
    <w:rsid w:val="003F5E84"/>
    <w:rsid w:val="00400A38"/>
    <w:rsid w:val="00405FC9"/>
    <w:rsid w:val="0041151E"/>
    <w:rsid w:val="00414114"/>
    <w:rsid w:val="004149FF"/>
    <w:rsid w:val="0044703B"/>
    <w:rsid w:val="00472B62"/>
    <w:rsid w:val="004749D2"/>
    <w:rsid w:val="0047531A"/>
    <w:rsid w:val="00480FB9"/>
    <w:rsid w:val="00484996"/>
    <w:rsid w:val="00484FE4"/>
    <w:rsid w:val="00486B46"/>
    <w:rsid w:val="00497B3A"/>
    <w:rsid w:val="004A15E6"/>
    <w:rsid w:val="004A16DF"/>
    <w:rsid w:val="004A228C"/>
    <w:rsid w:val="004A5114"/>
    <w:rsid w:val="004C4618"/>
    <w:rsid w:val="004D0D91"/>
    <w:rsid w:val="004D1E31"/>
    <w:rsid w:val="004D6884"/>
    <w:rsid w:val="004E1691"/>
    <w:rsid w:val="004E6B6B"/>
    <w:rsid w:val="004E6F77"/>
    <w:rsid w:val="00504B16"/>
    <w:rsid w:val="005059EE"/>
    <w:rsid w:val="005325B0"/>
    <w:rsid w:val="00543C2B"/>
    <w:rsid w:val="00547252"/>
    <w:rsid w:val="005538E8"/>
    <w:rsid w:val="005562C4"/>
    <w:rsid w:val="005616A1"/>
    <w:rsid w:val="00564481"/>
    <w:rsid w:val="00570B08"/>
    <w:rsid w:val="00576692"/>
    <w:rsid w:val="0057700C"/>
    <w:rsid w:val="00590378"/>
    <w:rsid w:val="00591164"/>
    <w:rsid w:val="005912FD"/>
    <w:rsid w:val="00591F4B"/>
    <w:rsid w:val="005A1AF7"/>
    <w:rsid w:val="005D33BA"/>
    <w:rsid w:val="005D7A64"/>
    <w:rsid w:val="005F312F"/>
    <w:rsid w:val="005F3917"/>
    <w:rsid w:val="005F62BC"/>
    <w:rsid w:val="005F7750"/>
    <w:rsid w:val="0060079E"/>
    <w:rsid w:val="00601E06"/>
    <w:rsid w:val="00617AF3"/>
    <w:rsid w:val="00624A55"/>
    <w:rsid w:val="006258EC"/>
    <w:rsid w:val="00625B84"/>
    <w:rsid w:val="00627F1B"/>
    <w:rsid w:val="00636A0B"/>
    <w:rsid w:val="00642A4F"/>
    <w:rsid w:val="006453C9"/>
    <w:rsid w:val="00647A25"/>
    <w:rsid w:val="00652FBA"/>
    <w:rsid w:val="00654C0C"/>
    <w:rsid w:val="00657558"/>
    <w:rsid w:val="00663B61"/>
    <w:rsid w:val="00665EFE"/>
    <w:rsid w:val="00667361"/>
    <w:rsid w:val="00674171"/>
    <w:rsid w:val="006A45D3"/>
    <w:rsid w:val="006B1A17"/>
    <w:rsid w:val="006B4550"/>
    <w:rsid w:val="006B72CE"/>
    <w:rsid w:val="006C05F2"/>
    <w:rsid w:val="006C5B04"/>
    <w:rsid w:val="006D14F3"/>
    <w:rsid w:val="006D5F14"/>
    <w:rsid w:val="006E2493"/>
    <w:rsid w:val="006F1131"/>
    <w:rsid w:val="006F3493"/>
    <w:rsid w:val="006F4B29"/>
    <w:rsid w:val="00704084"/>
    <w:rsid w:val="0071098B"/>
    <w:rsid w:val="00711305"/>
    <w:rsid w:val="00716516"/>
    <w:rsid w:val="00726096"/>
    <w:rsid w:val="0072657A"/>
    <w:rsid w:val="00736BB0"/>
    <w:rsid w:val="00742C72"/>
    <w:rsid w:val="00743F26"/>
    <w:rsid w:val="007506AE"/>
    <w:rsid w:val="00763160"/>
    <w:rsid w:val="00775B7B"/>
    <w:rsid w:val="00776F0E"/>
    <w:rsid w:val="00782647"/>
    <w:rsid w:val="0079491F"/>
    <w:rsid w:val="00794B2C"/>
    <w:rsid w:val="007963AA"/>
    <w:rsid w:val="007A38C8"/>
    <w:rsid w:val="007A38F7"/>
    <w:rsid w:val="007A4AC5"/>
    <w:rsid w:val="007B08AF"/>
    <w:rsid w:val="007B78C0"/>
    <w:rsid w:val="007C5A65"/>
    <w:rsid w:val="007E0643"/>
    <w:rsid w:val="007E7C55"/>
    <w:rsid w:val="007F0337"/>
    <w:rsid w:val="007F4798"/>
    <w:rsid w:val="007F7521"/>
    <w:rsid w:val="007F7ACB"/>
    <w:rsid w:val="00803A59"/>
    <w:rsid w:val="008102B3"/>
    <w:rsid w:val="00823EFF"/>
    <w:rsid w:val="00823F7C"/>
    <w:rsid w:val="008363BD"/>
    <w:rsid w:val="00853EAD"/>
    <w:rsid w:val="00861F0F"/>
    <w:rsid w:val="00863741"/>
    <w:rsid w:val="00875B67"/>
    <w:rsid w:val="008812C2"/>
    <w:rsid w:val="008832B7"/>
    <w:rsid w:val="0089565F"/>
    <w:rsid w:val="00895DDA"/>
    <w:rsid w:val="008979F9"/>
    <w:rsid w:val="008A2C6E"/>
    <w:rsid w:val="008A4419"/>
    <w:rsid w:val="008B6503"/>
    <w:rsid w:val="008C4BEC"/>
    <w:rsid w:val="008D0E1F"/>
    <w:rsid w:val="008D2401"/>
    <w:rsid w:val="008D354B"/>
    <w:rsid w:val="008E0FB4"/>
    <w:rsid w:val="008E693D"/>
    <w:rsid w:val="008F00A5"/>
    <w:rsid w:val="008F7515"/>
    <w:rsid w:val="009017C4"/>
    <w:rsid w:val="0090180E"/>
    <w:rsid w:val="0090297D"/>
    <w:rsid w:val="00905BA0"/>
    <w:rsid w:val="0091149B"/>
    <w:rsid w:val="00923E1E"/>
    <w:rsid w:val="009262AD"/>
    <w:rsid w:val="00930435"/>
    <w:rsid w:val="009306DA"/>
    <w:rsid w:val="00933DB0"/>
    <w:rsid w:val="00936793"/>
    <w:rsid w:val="0094019D"/>
    <w:rsid w:val="00952A14"/>
    <w:rsid w:val="00961E29"/>
    <w:rsid w:val="00962916"/>
    <w:rsid w:val="00963B9B"/>
    <w:rsid w:val="00973B52"/>
    <w:rsid w:val="009856FB"/>
    <w:rsid w:val="00985966"/>
    <w:rsid w:val="009910F5"/>
    <w:rsid w:val="009916FC"/>
    <w:rsid w:val="00991F47"/>
    <w:rsid w:val="00993888"/>
    <w:rsid w:val="00993EAD"/>
    <w:rsid w:val="00995870"/>
    <w:rsid w:val="009B481A"/>
    <w:rsid w:val="009F166B"/>
    <w:rsid w:val="00A031A8"/>
    <w:rsid w:val="00A062D2"/>
    <w:rsid w:val="00A10510"/>
    <w:rsid w:val="00A11071"/>
    <w:rsid w:val="00A11803"/>
    <w:rsid w:val="00A11A9F"/>
    <w:rsid w:val="00A122DD"/>
    <w:rsid w:val="00A22FDA"/>
    <w:rsid w:val="00A30A6E"/>
    <w:rsid w:val="00A325B1"/>
    <w:rsid w:val="00A36AFD"/>
    <w:rsid w:val="00A409E7"/>
    <w:rsid w:val="00A43BA2"/>
    <w:rsid w:val="00A517A9"/>
    <w:rsid w:val="00A536EF"/>
    <w:rsid w:val="00A704B4"/>
    <w:rsid w:val="00A74935"/>
    <w:rsid w:val="00A7532C"/>
    <w:rsid w:val="00AA0A87"/>
    <w:rsid w:val="00AA0EDA"/>
    <w:rsid w:val="00AB59A3"/>
    <w:rsid w:val="00AC14BF"/>
    <w:rsid w:val="00AF3A5D"/>
    <w:rsid w:val="00B0687C"/>
    <w:rsid w:val="00B06C3C"/>
    <w:rsid w:val="00B10051"/>
    <w:rsid w:val="00B141D8"/>
    <w:rsid w:val="00B143EA"/>
    <w:rsid w:val="00B14403"/>
    <w:rsid w:val="00B27058"/>
    <w:rsid w:val="00B50CCF"/>
    <w:rsid w:val="00B512D0"/>
    <w:rsid w:val="00B542F7"/>
    <w:rsid w:val="00B60BD2"/>
    <w:rsid w:val="00B60FD8"/>
    <w:rsid w:val="00B65111"/>
    <w:rsid w:val="00B72D02"/>
    <w:rsid w:val="00B751D5"/>
    <w:rsid w:val="00B75583"/>
    <w:rsid w:val="00B82EE0"/>
    <w:rsid w:val="00B94DA0"/>
    <w:rsid w:val="00BA105C"/>
    <w:rsid w:val="00BA149C"/>
    <w:rsid w:val="00BD55BE"/>
    <w:rsid w:val="00BE447A"/>
    <w:rsid w:val="00BF6F4D"/>
    <w:rsid w:val="00BF75E9"/>
    <w:rsid w:val="00C043D0"/>
    <w:rsid w:val="00C260CB"/>
    <w:rsid w:val="00C43089"/>
    <w:rsid w:val="00C51427"/>
    <w:rsid w:val="00C5312A"/>
    <w:rsid w:val="00C5653A"/>
    <w:rsid w:val="00C56747"/>
    <w:rsid w:val="00C6063D"/>
    <w:rsid w:val="00C620F0"/>
    <w:rsid w:val="00C703BA"/>
    <w:rsid w:val="00C713C0"/>
    <w:rsid w:val="00C757C4"/>
    <w:rsid w:val="00C8308A"/>
    <w:rsid w:val="00C9056A"/>
    <w:rsid w:val="00C967B6"/>
    <w:rsid w:val="00CA379F"/>
    <w:rsid w:val="00CA4E3C"/>
    <w:rsid w:val="00CC5232"/>
    <w:rsid w:val="00CD048C"/>
    <w:rsid w:val="00CD2E27"/>
    <w:rsid w:val="00CD2FAA"/>
    <w:rsid w:val="00CF043D"/>
    <w:rsid w:val="00CF1C4A"/>
    <w:rsid w:val="00CF7EA1"/>
    <w:rsid w:val="00D07C06"/>
    <w:rsid w:val="00D15FD4"/>
    <w:rsid w:val="00D22EDC"/>
    <w:rsid w:val="00D2634E"/>
    <w:rsid w:val="00D27C90"/>
    <w:rsid w:val="00D312AE"/>
    <w:rsid w:val="00D33861"/>
    <w:rsid w:val="00D44A41"/>
    <w:rsid w:val="00D451AE"/>
    <w:rsid w:val="00D74CEC"/>
    <w:rsid w:val="00D83C6F"/>
    <w:rsid w:val="00D86CAD"/>
    <w:rsid w:val="00DA47EE"/>
    <w:rsid w:val="00DA5ABA"/>
    <w:rsid w:val="00DC2384"/>
    <w:rsid w:val="00DC3F90"/>
    <w:rsid w:val="00DC4648"/>
    <w:rsid w:val="00DD1DD8"/>
    <w:rsid w:val="00DE4B8B"/>
    <w:rsid w:val="00DF29FC"/>
    <w:rsid w:val="00DF4B36"/>
    <w:rsid w:val="00E004AF"/>
    <w:rsid w:val="00E06B54"/>
    <w:rsid w:val="00E07E6B"/>
    <w:rsid w:val="00E108B2"/>
    <w:rsid w:val="00E11EC3"/>
    <w:rsid w:val="00E338A4"/>
    <w:rsid w:val="00E34488"/>
    <w:rsid w:val="00E451D5"/>
    <w:rsid w:val="00E472CF"/>
    <w:rsid w:val="00E4790B"/>
    <w:rsid w:val="00E51A73"/>
    <w:rsid w:val="00E55249"/>
    <w:rsid w:val="00E602FA"/>
    <w:rsid w:val="00E610FE"/>
    <w:rsid w:val="00E66F6E"/>
    <w:rsid w:val="00E73049"/>
    <w:rsid w:val="00E73FF0"/>
    <w:rsid w:val="00E75DB2"/>
    <w:rsid w:val="00E82DDE"/>
    <w:rsid w:val="00EA7D33"/>
    <w:rsid w:val="00EB2EC9"/>
    <w:rsid w:val="00EB5B9A"/>
    <w:rsid w:val="00EC226E"/>
    <w:rsid w:val="00EE1400"/>
    <w:rsid w:val="00EE305B"/>
    <w:rsid w:val="00EE738E"/>
    <w:rsid w:val="00F00CB1"/>
    <w:rsid w:val="00F128DB"/>
    <w:rsid w:val="00F131C7"/>
    <w:rsid w:val="00F136BF"/>
    <w:rsid w:val="00F238B6"/>
    <w:rsid w:val="00F26193"/>
    <w:rsid w:val="00F3002E"/>
    <w:rsid w:val="00F35CCA"/>
    <w:rsid w:val="00F43321"/>
    <w:rsid w:val="00F50B01"/>
    <w:rsid w:val="00F62219"/>
    <w:rsid w:val="00F74007"/>
    <w:rsid w:val="00F75ED7"/>
    <w:rsid w:val="00F8441F"/>
    <w:rsid w:val="00FA497A"/>
    <w:rsid w:val="00FB2318"/>
    <w:rsid w:val="00FB620D"/>
    <w:rsid w:val="00FC3805"/>
    <w:rsid w:val="00FD3AA7"/>
    <w:rsid w:val="00FD4CEC"/>
    <w:rsid w:val="00FD619D"/>
    <w:rsid w:val="00FE5BD8"/>
    <w:rsid w:val="00FE6BD9"/>
    <w:rsid w:val="00FF3CD2"/>
    <w:rsid w:val="00FF5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910DD"/>
  <w14:defaultImageDpi w14:val="0"/>
  <w15:docId w15:val="{9FF2F9BD-8712-470C-B75B-E1C0650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AD"/>
    <w:pPr>
      <w:spacing w:after="0" w:line="240" w:lineRule="auto"/>
    </w:pPr>
    <w:rPr>
      <w:sz w:val="24"/>
      <w:szCs w:val="24"/>
    </w:rPr>
  </w:style>
  <w:style w:type="paragraph" w:styleId="Heading1">
    <w:name w:val="heading 1"/>
    <w:basedOn w:val="Normal"/>
    <w:next w:val="Normal"/>
    <w:link w:val="Heading1Char"/>
    <w:uiPriority w:val="99"/>
    <w:qFormat/>
    <w:rsid w:val="00A11803"/>
    <w:pPr>
      <w:jc w:val="center"/>
      <w:outlineLvl w:val="0"/>
    </w:pPr>
    <w:rPr>
      <w:rFonts w:asciiTheme="minorHAnsi" w:hAnsiTheme="minorHAnsi"/>
      <w:b/>
      <w:sz w:val="40"/>
      <w:szCs w:val="40"/>
    </w:rPr>
  </w:style>
  <w:style w:type="paragraph" w:styleId="Heading2">
    <w:name w:val="heading 2"/>
    <w:basedOn w:val="Normal"/>
    <w:next w:val="Normal"/>
    <w:link w:val="Heading2Char"/>
    <w:uiPriority w:val="99"/>
    <w:qFormat/>
    <w:rsid w:val="00A11803"/>
    <w:pPr>
      <w:outlineLvl w:val="1"/>
    </w:pPr>
    <w:rPr>
      <w:rFonts w:ascii="Calibri" w:hAnsi="Calibri"/>
      <w:b/>
      <w:sz w:val="32"/>
      <w:szCs w:val="32"/>
    </w:rPr>
  </w:style>
  <w:style w:type="paragraph" w:styleId="Heading3">
    <w:name w:val="heading 3"/>
    <w:basedOn w:val="Normal"/>
    <w:next w:val="Normal"/>
    <w:link w:val="Heading3Char"/>
    <w:uiPriority w:val="99"/>
    <w:qFormat/>
    <w:rsid w:val="00DC2384"/>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D0193"/>
    <w:pPr>
      <w:keepNext/>
      <w:numPr>
        <w:ilvl w:val="3"/>
        <w:numId w:val="9"/>
      </w:numPr>
      <w:spacing w:before="240" w:after="60"/>
      <w:outlineLvl w:val="3"/>
    </w:pPr>
    <w:rPr>
      <w:b/>
      <w:bCs/>
      <w:sz w:val="28"/>
      <w:szCs w:val="28"/>
    </w:rPr>
  </w:style>
  <w:style w:type="paragraph" w:styleId="Heading5">
    <w:name w:val="heading 5"/>
    <w:basedOn w:val="Normal"/>
    <w:next w:val="Normal"/>
    <w:link w:val="Heading5Char"/>
    <w:uiPriority w:val="99"/>
    <w:qFormat/>
    <w:rsid w:val="003D0193"/>
    <w:pPr>
      <w:numPr>
        <w:ilvl w:val="4"/>
        <w:numId w:val="9"/>
      </w:numPr>
      <w:spacing w:before="240" w:after="60"/>
      <w:outlineLvl w:val="4"/>
    </w:pPr>
    <w:rPr>
      <w:b/>
      <w:bCs/>
      <w:i/>
      <w:iCs/>
      <w:sz w:val="26"/>
      <w:szCs w:val="26"/>
    </w:rPr>
  </w:style>
  <w:style w:type="paragraph" w:styleId="Heading6">
    <w:name w:val="heading 6"/>
    <w:basedOn w:val="Normal"/>
    <w:next w:val="Normal"/>
    <w:link w:val="Heading6Char"/>
    <w:uiPriority w:val="99"/>
    <w:qFormat/>
    <w:rsid w:val="003D0193"/>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9"/>
    <w:qFormat/>
    <w:rsid w:val="003D0193"/>
    <w:pPr>
      <w:numPr>
        <w:ilvl w:val="6"/>
        <w:numId w:val="9"/>
      </w:numPr>
      <w:spacing w:before="240" w:after="60"/>
      <w:outlineLvl w:val="6"/>
    </w:pPr>
  </w:style>
  <w:style w:type="paragraph" w:styleId="Heading8">
    <w:name w:val="heading 8"/>
    <w:basedOn w:val="Normal"/>
    <w:next w:val="Normal"/>
    <w:link w:val="Heading8Char"/>
    <w:uiPriority w:val="99"/>
    <w:qFormat/>
    <w:rsid w:val="003D0193"/>
    <w:pPr>
      <w:numPr>
        <w:ilvl w:val="7"/>
        <w:numId w:val="9"/>
      </w:numPr>
      <w:spacing w:before="240" w:after="60"/>
      <w:outlineLvl w:val="7"/>
    </w:pPr>
    <w:rPr>
      <w:i/>
      <w:iCs/>
    </w:rPr>
  </w:style>
  <w:style w:type="paragraph" w:styleId="Heading9">
    <w:name w:val="heading 9"/>
    <w:basedOn w:val="Normal"/>
    <w:next w:val="Normal"/>
    <w:link w:val="Heading9Char"/>
    <w:uiPriority w:val="99"/>
    <w:qFormat/>
    <w:rsid w:val="003D0193"/>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1803"/>
    <w:rPr>
      <w:rFonts w:asciiTheme="minorHAnsi" w:hAnsiTheme="minorHAnsi" w:cs="Times New Roman"/>
      <w:b/>
      <w:sz w:val="40"/>
      <w:szCs w:val="40"/>
    </w:rPr>
  </w:style>
  <w:style w:type="character" w:customStyle="1" w:styleId="Heading2Char">
    <w:name w:val="Heading 2 Char"/>
    <w:basedOn w:val="DefaultParagraphFont"/>
    <w:link w:val="Heading2"/>
    <w:uiPriority w:val="99"/>
    <w:locked/>
    <w:rsid w:val="00A11803"/>
    <w:rPr>
      <w:rFonts w:ascii="Calibri" w:hAnsi="Calibri" w:cs="Times New Roman"/>
      <w:b/>
      <w:sz w:val="32"/>
      <w:szCs w:val="32"/>
    </w:rPr>
  </w:style>
  <w:style w:type="character" w:customStyle="1" w:styleId="Heading3Char">
    <w:name w:val="Heading 3 Char"/>
    <w:basedOn w:val="DefaultParagraphFont"/>
    <w:link w:val="Heading3"/>
    <w:uiPriority w:val="99"/>
    <w:locked/>
    <w:rPr>
      <w:rFonts w:ascii="Arial" w:hAnsi="Arial" w:cs="Arial"/>
      <w:b/>
      <w:bCs/>
      <w:sz w:val="26"/>
      <w:szCs w:val="26"/>
    </w:rPr>
  </w:style>
  <w:style w:type="character" w:customStyle="1" w:styleId="Heading4Char">
    <w:name w:val="Heading 4 Char"/>
    <w:basedOn w:val="DefaultParagraphFont"/>
    <w:link w:val="Heading4"/>
    <w:uiPriority w:val="99"/>
    <w:locked/>
    <w:rPr>
      <w:rFonts w:cs="Times New Roman"/>
      <w:b/>
      <w:bCs/>
      <w:sz w:val="28"/>
      <w:szCs w:val="28"/>
    </w:rPr>
  </w:style>
  <w:style w:type="character" w:customStyle="1" w:styleId="Heading5Char">
    <w:name w:val="Heading 5 Char"/>
    <w:basedOn w:val="DefaultParagraphFont"/>
    <w:link w:val="Heading5"/>
    <w:uiPriority w:val="99"/>
    <w:locked/>
    <w:rPr>
      <w:rFonts w:cs="Times New Roman"/>
      <w:b/>
      <w:bCs/>
      <w:i/>
      <w:iCs/>
      <w:sz w:val="26"/>
      <w:szCs w:val="26"/>
    </w:rPr>
  </w:style>
  <w:style w:type="character" w:customStyle="1" w:styleId="Heading6Char">
    <w:name w:val="Heading 6 Char"/>
    <w:basedOn w:val="DefaultParagraphFont"/>
    <w:link w:val="Heading6"/>
    <w:uiPriority w:val="99"/>
    <w:locked/>
    <w:rPr>
      <w:rFonts w:cs="Times New Roman"/>
      <w:b/>
      <w:bCs/>
    </w:rPr>
  </w:style>
  <w:style w:type="character" w:customStyle="1" w:styleId="Heading7Char">
    <w:name w:val="Heading 7 Char"/>
    <w:basedOn w:val="DefaultParagraphFont"/>
    <w:link w:val="Heading7"/>
    <w:uiPriority w:val="99"/>
    <w:locked/>
    <w:rPr>
      <w:rFonts w:cs="Times New Roman"/>
      <w:sz w:val="24"/>
      <w:szCs w:val="24"/>
    </w:rPr>
  </w:style>
  <w:style w:type="character" w:customStyle="1" w:styleId="Heading8Char">
    <w:name w:val="Heading 8 Char"/>
    <w:basedOn w:val="DefaultParagraphFont"/>
    <w:link w:val="Heading8"/>
    <w:uiPriority w:val="99"/>
    <w:locked/>
    <w:rPr>
      <w:rFonts w:cs="Times New Roman"/>
      <w:i/>
      <w:iCs/>
      <w:sz w:val="24"/>
      <w:szCs w:val="24"/>
    </w:rPr>
  </w:style>
  <w:style w:type="character" w:customStyle="1" w:styleId="Heading9Char">
    <w:name w:val="Heading 9 Char"/>
    <w:basedOn w:val="DefaultParagraphFont"/>
    <w:link w:val="Heading9"/>
    <w:uiPriority w:val="99"/>
    <w:locked/>
    <w:rPr>
      <w:rFonts w:ascii="Arial" w:hAnsi="Arial" w:cs="Arial"/>
    </w:rPr>
  </w:style>
  <w:style w:type="paragraph" w:styleId="DocumentMap">
    <w:name w:val="Document Map"/>
    <w:basedOn w:val="Normal"/>
    <w:link w:val="DocumentMapChar"/>
    <w:uiPriority w:val="99"/>
    <w:semiHidden/>
    <w:rsid w:val="007F7A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alloonText">
    <w:name w:val="Balloon Text"/>
    <w:basedOn w:val="Normal"/>
    <w:link w:val="BalloonTextChar"/>
    <w:uiPriority w:val="99"/>
    <w:semiHidden/>
    <w:rsid w:val="008F751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sid w:val="00993888"/>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993888"/>
    <w:rPr>
      <w:rFonts w:cs="Times New Roman"/>
      <w:vertAlign w:val="superscript"/>
    </w:rPr>
  </w:style>
  <w:style w:type="character" w:styleId="CommentReference">
    <w:name w:val="annotation reference"/>
    <w:basedOn w:val="DefaultParagraphFont"/>
    <w:uiPriority w:val="99"/>
    <w:semiHidden/>
    <w:rsid w:val="00A30A6E"/>
    <w:rPr>
      <w:rFonts w:cs="Times New Roman"/>
      <w:sz w:val="16"/>
      <w:szCs w:val="16"/>
    </w:rPr>
  </w:style>
  <w:style w:type="paragraph" w:styleId="CommentText">
    <w:name w:val="annotation text"/>
    <w:basedOn w:val="Normal"/>
    <w:link w:val="CommentTextChar"/>
    <w:uiPriority w:val="99"/>
    <w:semiHidden/>
    <w:rsid w:val="00A30A6E"/>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30A6E"/>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Header">
    <w:name w:val="header"/>
    <w:basedOn w:val="Normal"/>
    <w:link w:val="HeaderChar"/>
    <w:uiPriority w:val="99"/>
    <w:rsid w:val="00264CBB"/>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64CBB"/>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64CBB"/>
    <w:rPr>
      <w:rFonts w:cs="Times New Roman"/>
    </w:rPr>
  </w:style>
  <w:style w:type="paragraph" w:styleId="TOC1">
    <w:name w:val="toc 1"/>
    <w:basedOn w:val="Normal"/>
    <w:next w:val="Normal"/>
    <w:autoRedefine/>
    <w:uiPriority w:val="99"/>
    <w:semiHidden/>
    <w:rsid w:val="00E34488"/>
    <w:pPr>
      <w:spacing w:before="360"/>
    </w:pPr>
    <w:rPr>
      <w:rFonts w:ascii="Arial" w:hAnsi="Arial" w:cs="Arial"/>
      <w:b/>
      <w:bCs/>
      <w:caps/>
    </w:rPr>
  </w:style>
  <w:style w:type="paragraph" w:styleId="TOC2">
    <w:name w:val="toc 2"/>
    <w:basedOn w:val="Normal"/>
    <w:next w:val="Normal"/>
    <w:autoRedefine/>
    <w:uiPriority w:val="99"/>
    <w:semiHidden/>
    <w:rsid w:val="00F74007"/>
    <w:pPr>
      <w:spacing w:before="240"/>
    </w:pPr>
    <w:rPr>
      <w:b/>
      <w:bCs/>
      <w:sz w:val="20"/>
      <w:szCs w:val="20"/>
    </w:rPr>
  </w:style>
  <w:style w:type="character" w:styleId="Hyperlink">
    <w:name w:val="Hyperlink"/>
    <w:basedOn w:val="DefaultParagraphFont"/>
    <w:uiPriority w:val="99"/>
    <w:rsid w:val="00E34488"/>
    <w:rPr>
      <w:rFonts w:cs="Times New Roman"/>
      <w:color w:val="0000FF"/>
      <w:u w:val="single"/>
    </w:rPr>
  </w:style>
  <w:style w:type="paragraph" w:styleId="TOC3">
    <w:name w:val="toc 3"/>
    <w:basedOn w:val="Normal"/>
    <w:next w:val="Normal"/>
    <w:autoRedefine/>
    <w:uiPriority w:val="99"/>
    <w:semiHidden/>
    <w:rsid w:val="00991F47"/>
    <w:pPr>
      <w:ind w:left="240"/>
    </w:pPr>
    <w:rPr>
      <w:sz w:val="20"/>
      <w:szCs w:val="20"/>
    </w:rPr>
  </w:style>
  <w:style w:type="paragraph" w:styleId="TOC4">
    <w:name w:val="toc 4"/>
    <w:basedOn w:val="Normal"/>
    <w:next w:val="Normal"/>
    <w:autoRedefine/>
    <w:uiPriority w:val="99"/>
    <w:semiHidden/>
    <w:rsid w:val="00991F47"/>
    <w:pPr>
      <w:ind w:left="480"/>
    </w:pPr>
    <w:rPr>
      <w:sz w:val="20"/>
      <w:szCs w:val="20"/>
    </w:rPr>
  </w:style>
  <w:style w:type="paragraph" w:styleId="TOC5">
    <w:name w:val="toc 5"/>
    <w:basedOn w:val="Normal"/>
    <w:next w:val="Normal"/>
    <w:autoRedefine/>
    <w:uiPriority w:val="99"/>
    <w:semiHidden/>
    <w:rsid w:val="00991F47"/>
    <w:pPr>
      <w:ind w:left="720"/>
    </w:pPr>
    <w:rPr>
      <w:sz w:val="20"/>
      <w:szCs w:val="20"/>
    </w:rPr>
  </w:style>
  <w:style w:type="paragraph" w:styleId="TOC6">
    <w:name w:val="toc 6"/>
    <w:basedOn w:val="Normal"/>
    <w:next w:val="Normal"/>
    <w:autoRedefine/>
    <w:uiPriority w:val="99"/>
    <w:semiHidden/>
    <w:rsid w:val="00991F47"/>
    <w:pPr>
      <w:ind w:left="960"/>
    </w:pPr>
    <w:rPr>
      <w:sz w:val="20"/>
      <w:szCs w:val="20"/>
    </w:rPr>
  </w:style>
  <w:style w:type="paragraph" w:styleId="TOC7">
    <w:name w:val="toc 7"/>
    <w:basedOn w:val="Normal"/>
    <w:next w:val="Normal"/>
    <w:autoRedefine/>
    <w:uiPriority w:val="99"/>
    <w:semiHidden/>
    <w:rsid w:val="00991F47"/>
    <w:pPr>
      <w:ind w:left="1200"/>
    </w:pPr>
    <w:rPr>
      <w:sz w:val="20"/>
      <w:szCs w:val="20"/>
    </w:rPr>
  </w:style>
  <w:style w:type="paragraph" w:styleId="TOC8">
    <w:name w:val="toc 8"/>
    <w:basedOn w:val="Normal"/>
    <w:next w:val="Normal"/>
    <w:autoRedefine/>
    <w:uiPriority w:val="99"/>
    <w:semiHidden/>
    <w:rsid w:val="00991F47"/>
    <w:pPr>
      <w:ind w:left="1440"/>
    </w:pPr>
    <w:rPr>
      <w:sz w:val="20"/>
      <w:szCs w:val="20"/>
    </w:rPr>
  </w:style>
  <w:style w:type="paragraph" w:styleId="TOC9">
    <w:name w:val="toc 9"/>
    <w:basedOn w:val="Normal"/>
    <w:next w:val="Normal"/>
    <w:autoRedefine/>
    <w:uiPriority w:val="99"/>
    <w:semiHidden/>
    <w:rsid w:val="00991F47"/>
    <w:pPr>
      <w:ind w:left="1680"/>
    </w:pPr>
    <w:rPr>
      <w:sz w:val="20"/>
      <w:szCs w:val="20"/>
    </w:rPr>
  </w:style>
  <w:style w:type="paragraph" w:customStyle="1" w:styleId="TOC10">
    <w:name w:val="TOC1"/>
    <w:basedOn w:val="Normal"/>
    <w:link w:val="TOC1Char"/>
    <w:qFormat/>
    <w:rsid w:val="00A11803"/>
    <w:pPr>
      <w:jc w:val="center"/>
    </w:pPr>
    <w:rPr>
      <w:rFonts w:asciiTheme="minorHAnsi" w:hAnsiTheme="minorHAnsi"/>
      <w:b/>
    </w:rPr>
  </w:style>
  <w:style w:type="paragraph" w:customStyle="1" w:styleId="Bullet1">
    <w:name w:val="Bullet1"/>
    <w:basedOn w:val="Heading1"/>
    <w:link w:val="Bullet1Char"/>
    <w:qFormat/>
    <w:rsid w:val="008C4BEC"/>
    <w:pPr>
      <w:keepNext/>
      <w:numPr>
        <w:numId w:val="9"/>
      </w:numPr>
      <w:spacing w:before="240" w:after="60"/>
      <w:ind w:left="431" w:hanging="431"/>
      <w:jc w:val="left"/>
    </w:pPr>
    <w:rPr>
      <w:rFonts w:ascii="Calibri" w:hAnsi="Calibri" w:cs="Arial"/>
      <w:bCs/>
      <w:kern w:val="32"/>
      <w:sz w:val="24"/>
      <w:szCs w:val="24"/>
    </w:rPr>
  </w:style>
  <w:style w:type="character" w:customStyle="1" w:styleId="TOC1Char">
    <w:name w:val="TOC1 Char"/>
    <w:basedOn w:val="DefaultParagraphFont"/>
    <w:link w:val="TOC10"/>
    <w:locked/>
    <w:rsid w:val="00A11803"/>
    <w:rPr>
      <w:rFonts w:asciiTheme="minorHAnsi" w:hAnsiTheme="minorHAnsi" w:cs="Times New Roman"/>
      <w:b/>
      <w:sz w:val="24"/>
      <w:szCs w:val="24"/>
    </w:rPr>
  </w:style>
  <w:style w:type="paragraph" w:customStyle="1" w:styleId="Bullet2">
    <w:name w:val="Bullet2"/>
    <w:basedOn w:val="Heading2"/>
    <w:link w:val="Bullet2Char"/>
    <w:qFormat/>
    <w:rsid w:val="00BF6F4D"/>
    <w:pPr>
      <w:keepNext/>
      <w:keepLines/>
      <w:widowControl w:val="0"/>
      <w:numPr>
        <w:ilvl w:val="1"/>
        <w:numId w:val="9"/>
      </w:numPr>
      <w:spacing w:before="120" w:after="120"/>
      <w:ind w:left="1021" w:hanging="567"/>
    </w:pPr>
    <w:rPr>
      <w:rFonts w:cs="Arial"/>
      <w:b w:val="0"/>
      <w:bCs/>
      <w:iCs/>
      <w:sz w:val="24"/>
      <w:szCs w:val="24"/>
    </w:rPr>
  </w:style>
  <w:style w:type="character" w:customStyle="1" w:styleId="Bullet1Char">
    <w:name w:val="Bullet1 Char"/>
    <w:basedOn w:val="Heading1Char"/>
    <w:link w:val="Bullet1"/>
    <w:locked/>
    <w:rsid w:val="008C4BEC"/>
    <w:rPr>
      <w:rFonts w:ascii="Calibri" w:hAnsi="Calibri" w:cs="Arial"/>
      <w:b/>
      <w:bCs/>
      <w:kern w:val="32"/>
      <w:sz w:val="24"/>
      <w:szCs w:val="24"/>
    </w:rPr>
  </w:style>
  <w:style w:type="paragraph" w:styleId="ListParagraph">
    <w:name w:val="List Paragraph"/>
    <w:basedOn w:val="Normal"/>
    <w:uiPriority w:val="34"/>
    <w:qFormat/>
    <w:rsid w:val="00A11803"/>
    <w:pPr>
      <w:ind w:left="720"/>
    </w:pPr>
  </w:style>
  <w:style w:type="character" w:customStyle="1" w:styleId="Bullet2Char">
    <w:name w:val="Bullet2 Char"/>
    <w:basedOn w:val="Heading2Char"/>
    <w:link w:val="Bullet2"/>
    <w:locked/>
    <w:rsid w:val="00BF6F4D"/>
    <w:rPr>
      <w:rFonts w:ascii="Calibri" w:hAnsi="Calibri" w:cs="Arial"/>
      <w:b w:val="0"/>
      <w:bCs/>
      <w:iCs/>
      <w:sz w:val="24"/>
      <w:szCs w:val="24"/>
    </w:rPr>
  </w:style>
  <w:style w:type="paragraph" w:customStyle="1" w:styleId="Bullet3">
    <w:name w:val="Bullet3"/>
    <w:basedOn w:val="Normal"/>
    <w:link w:val="Bullet3Char"/>
    <w:qFormat/>
    <w:rsid w:val="00A11803"/>
    <w:pPr>
      <w:numPr>
        <w:numId w:val="4"/>
      </w:numPr>
      <w:tabs>
        <w:tab w:val="num" w:pos="1152"/>
      </w:tabs>
      <w:spacing w:before="120" w:after="120"/>
    </w:pPr>
    <w:rPr>
      <w:rFonts w:ascii="Calibri" w:hAnsi="Calibri"/>
    </w:rPr>
  </w:style>
  <w:style w:type="paragraph" w:customStyle="1" w:styleId="Bullet4">
    <w:name w:val="Bullet4"/>
    <w:basedOn w:val="Heading3"/>
    <w:link w:val="Bullet4Char"/>
    <w:qFormat/>
    <w:rsid w:val="007A38F7"/>
    <w:pPr>
      <w:keepNext w:val="0"/>
      <w:keepLines/>
      <w:widowControl w:val="0"/>
      <w:numPr>
        <w:numId w:val="9"/>
      </w:numPr>
      <w:spacing w:before="120" w:after="120"/>
      <w:ind w:left="1701" w:hanging="708"/>
    </w:pPr>
    <w:rPr>
      <w:rFonts w:asciiTheme="minorHAnsi" w:hAnsiTheme="minorHAnsi"/>
      <w:b w:val="0"/>
      <w:sz w:val="24"/>
      <w:szCs w:val="24"/>
    </w:rPr>
  </w:style>
  <w:style w:type="character" w:customStyle="1" w:styleId="Bullet3Char">
    <w:name w:val="Bullet3 Char"/>
    <w:basedOn w:val="DefaultParagraphFont"/>
    <w:link w:val="Bullet3"/>
    <w:locked/>
    <w:rsid w:val="00A11803"/>
    <w:rPr>
      <w:rFonts w:ascii="Calibri" w:hAnsi="Calibri" w:cs="Times New Roman"/>
      <w:sz w:val="24"/>
      <w:szCs w:val="24"/>
    </w:rPr>
  </w:style>
  <w:style w:type="paragraph" w:customStyle="1" w:styleId="Emphasize">
    <w:name w:val="Emphasize"/>
    <w:basedOn w:val="Bullet4"/>
    <w:link w:val="EmphasizeChar"/>
    <w:qFormat/>
    <w:rsid w:val="00853EAD"/>
    <w:pPr>
      <w:numPr>
        <w:ilvl w:val="0"/>
        <w:numId w:val="0"/>
      </w:numPr>
      <w:ind w:left="1276"/>
    </w:pPr>
    <w:rPr>
      <w:i/>
    </w:rPr>
  </w:style>
  <w:style w:type="character" w:customStyle="1" w:styleId="Bullet4Char">
    <w:name w:val="Bullet4 Char"/>
    <w:basedOn w:val="Bullet1Char"/>
    <w:link w:val="Bullet4"/>
    <w:locked/>
    <w:rsid w:val="007A38F7"/>
    <w:rPr>
      <w:rFonts w:asciiTheme="minorHAnsi" w:hAnsiTheme="minorHAnsi" w:cs="Arial"/>
      <w:b w:val="0"/>
      <w:bCs/>
      <w:kern w:val="32"/>
      <w:sz w:val="24"/>
      <w:szCs w:val="24"/>
    </w:rPr>
  </w:style>
  <w:style w:type="character" w:customStyle="1" w:styleId="EmphasizeChar">
    <w:name w:val="Emphasize Char"/>
    <w:basedOn w:val="Bullet4Char"/>
    <w:link w:val="Emphasize"/>
    <w:locked/>
    <w:rsid w:val="00853EAD"/>
    <w:rPr>
      <w:rFonts w:asciiTheme="minorHAnsi" w:hAnsiTheme="minorHAnsi" w:cs="Arial"/>
      <w:b w:val="0"/>
      <w:bCs/>
      <w:i/>
      <w:kern w:val="32"/>
      <w:sz w:val="24"/>
      <w:szCs w:val="24"/>
    </w:rPr>
  </w:style>
  <w:style w:type="paragraph" w:styleId="BodyTextIndent">
    <w:name w:val="Body Text Indent"/>
    <w:basedOn w:val="Normal"/>
    <w:link w:val="BodyTextIndentChar"/>
    <w:uiPriority w:val="99"/>
    <w:unhideWhenUsed/>
    <w:rsid w:val="007A38F7"/>
    <w:pPr>
      <w:spacing w:before="120" w:after="120"/>
      <w:ind w:left="1701"/>
    </w:pPr>
    <w:rPr>
      <w:rFonts w:ascii="Calibri" w:hAnsi="Calibri"/>
    </w:rPr>
  </w:style>
  <w:style w:type="character" w:customStyle="1" w:styleId="BodyTextIndentChar">
    <w:name w:val="Body Text Indent Char"/>
    <w:basedOn w:val="DefaultParagraphFont"/>
    <w:link w:val="BodyTextIndent"/>
    <w:uiPriority w:val="99"/>
    <w:locked/>
    <w:rsid w:val="007A38F7"/>
    <w:rPr>
      <w:rFonts w:ascii="Calibri" w:hAnsi="Calibri" w:cs="Times New Roman"/>
      <w:sz w:val="24"/>
      <w:szCs w:val="24"/>
    </w:rPr>
  </w:style>
  <w:style w:type="paragraph" w:customStyle="1" w:styleId="BodyTextIndentEmphasize">
    <w:name w:val="Body Text Indent Emphasize"/>
    <w:basedOn w:val="BodyTextIndent"/>
    <w:qFormat/>
    <w:rsid w:val="00BF6F4D"/>
    <w:pPr>
      <w:widowControl w:val="0"/>
    </w:pPr>
    <w:rPr>
      <w:i/>
    </w:rPr>
  </w:style>
  <w:style w:type="paragraph" w:customStyle="1" w:styleId="BodyTextIndentIntenseEmphasis">
    <w:name w:val="Body Text Indent Intense Emphasis"/>
    <w:basedOn w:val="BodyTextIndent"/>
    <w:qFormat/>
    <w:rsid w:val="00853EAD"/>
    <w:rPr>
      <w:i/>
      <w:u w:val="single"/>
    </w:rPr>
  </w:style>
  <w:style w:type="numbering" w:styleId="111111">
    <w:name w:val="Outline List 2"/>
    <w:aliases w:val="1 / 1.1 / 1.5.1"/>
    <w:basedOn w:val="NoList"/>
    <w:uiPriority w:val="99"/>
    <w:semiHidden/>
    <w:unhideWhenUse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256169">
      <w:marLeft w:val="0"/>
      <w:marRight w:val="0"/>
      <w:marTop w:val="0"/>
      <w:marBottom w:val="0"/>
      <w:divBdr>
        <w:top w:val="none" w:sz="0" w:space="0" w:color="auto"/>
        <w:left w:val="none" w:sz="0" w:space="0" w:color="auto"/>
        <w:bottom w:val="none" w:sz="0" w:space="0" w:color="auto"/>
        <w:right w:val="none" w:sz="0" w:space="0" w:color="auto"/>
      </w:divBdr>
      <w:divsChild>
        <w:div w:id="1188256180">
          <w:marLeft w:val="0"/>
          <w:marRight w:val="0"/>
          <w:marTop w:val="0"/>
          <w:marBottom w:val="0"/>
          <w:divBdr>
            <w:top w:val="none" w:sz="0" w:space="0" w:color="auto"/>
            <w:left w:val="none" w:sz="0" w:space="0" w:color="auto"/>
            <w:bottom w:val="none" w:sz="0" w:space="0" w:color="auto"/>
            <w:right w:val="none" w:sz="0" w:space="0" w:color="auto"/>
          </w:divBdr>
          <w:divsChild>
            <w:div w:id="1188256181">
              <w:marLeft w:val="0"/>
              <w:marRight w:val="0"/>
              <w:marTop w:val="0"/>
              <w:marBottom w:val="0"/>
              <w:divBdr>
                <w:top w:val="none" w:sz="0" w:space="0" w:color="auto"/>
                <w:left w:val="none" w:sz="0" w:space="0" w:color="auto"/>
                <w:bottom w:val="none" w:sz="0" w:space="0" w:color="auto"/>
                <w:right w:val="none" w:sz="0" w:space="0" w:color="auto"/>
              </w:divBdr>
              <w:divsChild>
                <w:div w:id="11882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6178">
      <w:marLeft w:val="0"/>
      <w:marRight w:val="0"/>
      <w:marTop w:val="0"/>
      <w:marBottom w:val="0"/>
      <w:divBdr>
        <w:top w:val="none" w:sz="0" w:space="0" w:color="auto"/>
        <w:left w:val="none" w:sz="0" w:space="0" w:color="auto"/>
        <w:bottom w:val="none" w:sz="0" w:space="0" w:color="auto"/>
        <w:right w:val="none" w:sz="0" w:space="0" w:color="auto"/>
      </w:divBdr>
      <w:divsChild>
        <w:div w:id="1188256175">
          <w:marLeft w:val="0"/>
          <w:marRight w:val="0"/>
          <w:marTop w:val="0"/>
          <w:marBottom w:val="0"/>
          <w:divBdr>
            <w:top w:val="none" w:sz="0" w:space="0" w:color="auto"/>
            <w:left w:val="none" w:sz="0" w:space="0" w:color="auto"/>
            <w:bottom w:val="none" w:sz="0" w:space="0" w:color="auto"/>
            <w:right w:val="none" w:sz="0" w:space="0" w:color="auto"/>
          </w:divBdr>
          <w:divsChild>
            <w:div w:id="1188256170">
              <w:marLeft w:val="0"/>
              <w:marRight w:val="0"/>
              <w:marTop w:val="0"/>
              <w:marBottom w:val="0"/>
              <w:divBdr>
                <w:top w:val="none" w:sz="0" w:space="0" w:color="auto"/>
                <w:left w:val="none" w:sz="0" w:space="0" w:color="auto"/>
                <w:bottom w:val="none" w:sz="0" w:space="0" w:color="auto"/>
                <w:right w:val="none" w:sz="0" w:space="0" w:color="auto"/>
              </w:divBdr>
              <w:divsChild>
                <w:div w:id="11882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6182">
      <w:marLeft w:val="0"/>
      <w:marRight w:val="0"/>
      <w:marTop w:val="0"/>
      <w:marBottom w:val="0"/>
      <w:divBdr>
        <w:top w:val="none" w:sz="0" w:space="0" w:color="auto"/>
        <w:left w:val="none" w:sz="0" w:space="0" w:color="auto"/>
        <w:bottom w:val="none" w:sz="0" w:space="0" w:color="auto"/>
        <w:right w:val="none" w:sz="0" w:space="0" w:color="auto"/>
      </w:divBdr>
      <w:divsChild>
        <w:div w:id="1188256183">
          <w:marLeft w:val="0"/>
          <w:marRight w:val="0"/>
          <w:marTop w:val="0"/>
          <w:marBottom w:val="0"/>
          <w:divBdr>
            <w:top w:val="none" w:sz="0" w:space="0" w:color="auto"/>
            <w:left w:val="none" w:sz="0" w:space="0" w:color="auto"/>
            <w:bottom w:val="none" w:sz="0" w:space="0" w:color="auto"/>
            <w:right w:val="none" w:sz="0" w:space="0" w:color="auto"/>
          </w:divBdr>
          <w:divsChild>
            <w:div w:id="1188256171">
              <w:marLeft w:val="0"/>
              <w:marRight w:val="0"/>
              <w:marTop w:val="0"/>
              <w:marBottom w:val="0"/>
              <w:divBdr>
                <w:top w:val="none" w:sz="0" w:space="0" w:color="auto"/>
                <w:left w:val="none" w:sz="0" w:space="0" w:color="auto"/>
                <w:bottom w:val="none" w:sz="0" w:space="0" w:color="auto"/>
                <w:right w:val="none" w:sz="0" w:space="0" w:color="auto"/>
              </w:divBdr>
              <w:divsChild>
                <w:div w:id="11882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6184">
      <w:marLeft w:val="0"/>
      <w:marRight w:val="0"/>
      <w:marTop w:val="0"/>
      <w:marBottom w:val="0"/>
      <w:divBdr>
        <w:top w:val="none" w:sz="0" w:space="0" w:color="auto"/>
        <w:left w:val="none" w:sz="0" w:space="0" w:color="auto"/>
        <w:bottom w:val="none" w:sz="0" w:space="0" w:color="auto"/>
        <w:right w:val="none" w:sz="0" w:space="0" w:color="auto"/>
      </w:divBdr>
      <w:divsChild>
        <w:div w:id="1188256173">
          <w:marLeft w:val="0"/>
          <w:marRight w:val="0"/>
          <w:marTop w:val="0"/>
          <w:marBottom w:val="0"/>
          <w:divBdr>
            <w:top w:val="none" w:sz="0" w:space="0" w:color="auto"/>
            <w:left w:val="none" w:sz="0" w:space="0" w:color="auto"/>
            <w:bottom w:val="none" w:sz="0" w:space="0" w:color="auto"/>
            <w:right w:val="none" w:sz="0" w:space="0" w:color="auto"/>
          </w:divBdr>
          <w:divsChild>
            <w:div w:id="1188256177">
              <w:marLeft w:val="0"/>
              <w:marRight w:val="0"/>
              <w:marTop w:val="0"/>
              <w:marBottom w:val="0"/>
              <w:divBdr>
                <w:top w:val="none" w:sz="0" w:space="0" w:color="auto"/>
                <w:left w:val="none" w:sz="0" w:space="0" w:color="auto"/>
                <w:bottom w:val="none" w:sz="0" w:space="0" w:color="auto"/>
                <w:right w:val="none" w:sz="0" w:space="0" w:color="auto"/>
              </w:divBdr>
              <w:divsChild>
                <w:div w:id="11882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6186">
      <w:marLeft w:val="0"/>
      <w:marRight w:val="0"/>
      <w:marTop w:val="0"/>
      <w:marBottom w:val="0"/>
      <w:divBdr>
        <w:top w:val="none" w:sz="0" w:space="0" w:color="auto"/>
        <w:left w:val="none" w:sz="0" w:space="0" w:color="auto"/>
        <w:bottom w:val="none" w:sz="0" w:space="0" w:color="auto"/>
        <w:right w:val="none" w:sz="0" w:space="0" w:color="auto"/>
      </w:divBdr>
      <w:divsChild>
        <w:div w:id="1188256172">
          <w:marLeft w:val="0"/>
          <w:marRight w:val="0"/>
          <w:marTop w:val="0"/>
          <w:marBottom w:val="0"/>
          <w:divBdr>
            <w:top w:val="none" w:sz="0" w:space="0" w:color="auto"/>
            <w:left w:val="none" w:sz="0" w:space="0" w:color="auto"/>
            <w:bottom w:val="none" w:sz="0" w:space="0" w:color="auto"/>
            <w:right w:val="none" w:sz="0" w:space="0" w:color="auto"/>
          </w:divBdr>
          <w:divsChild>
            <w:div w:id="1188256176">
              <w:marLeft w:val="0"/>
              <w:marRight w:val="0"/>
              <w:marTop w:val="0"/>
              <w:marBottom w:val="0"/>
              <w:divBdr>
                <w:top w:val="none" w:sz="0" w:space="0" w:color="auto"/>
                <w:left w:val="none" w:sz="0" w:space="0" w:color="auto"/>
                <w:bottom w:val="none" w:sz="0" w:space="0" w:color="auto"/>
                <w:right w:val="none" w:sz="0" w:space="0" w:color="auto"/>
              </w:divBdr>
              <w:divsChild>
                <w:div w:id="11882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4AADD-764A-498C-84BF-81E21591D281}">
  <ds:schemaRefs>
    <ds:schemaRef ds:uri="http://schemas.microsoft.com/sharepoint/v3/contenttype/forms"/>
  </ds:schemaRefs>
</ds:datastoreItem>
</file>

<file path=customXml/itemProps2.xml><?xml version="1.0" encoding="utf-8"?>
<ds:datastoreItem xmlns:ds="http://schemas.openxmlformats.org/officeDocument/2006/customXml" ds:itemID="{29CFC974-DD56-4662-938F-3CE4D0DE88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449CB-28DE-4ABB-8C91-9CBBB5902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2388</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Principles for Joint Higher Degrees by Research</vt:lpstr>
    </vt:vector>
  </TitlesOfParts>
  <Company>DIISR</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for Joint Higher Degrees by Research</dc:title>
  <dc:subject/>
  <dc:creator>DIISR</dc:creator>
  <cp:keywords/>
  <dc:description/>
  <cp:lastModifiedBy>Julie McGowan</cp:lastModifiedBy>
  <cp:revision>2</cp:revision>
  <cp:lastPrinted>2011-12-01T05:49:00Z</cp:lastPrinted>
  <dcterms:created xsi:type="dcterms:W3CDTF">2024-04-10T05:17:00Z</dcterms:created>
  <dcterms:modified xsi:type="dcterms:W3CDTF">2024-04-10T05:17:00Z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Language">
    <vt:lpwstr>English</vt:lpwstr>
  </property>
  <property fmtid="{D5CDD505-2E9C-101B-9397-08002B2CF9AE}" pid="7" name="MSIP_Label_bf6fef03-d487-4433-8e43-6b81c0a1b7be_Enabled">
    <vt:lpwstr>true</vt:lpwstr>
  </property>
  <property fmtid="{D5CDD505-2E9C-101B-9397-08002B2CF9AE}" pid="8" name="MSIP_Label_bf6fef03-d487-4433-8e43-6b81c0a1b7be_SetDate">
    <vt:lpwstr>2023-10-26T01:31:40Z</vt:lpwstr>
  </property>
  <property fmtid="{D5CDD505-2E9C-101B-9397-08002B2CF9AE}" pid="9" name="MSIP_Label_bf6fef03-d487-4433-8e43-6b81c0a1b7be_Method">
    <vt:lpwstr>Standard</vt:lpwstr>
  </property>
  <property fmtid="{D5CDD505-2E9C-101B-9397-08002B2CF9AE}" pid="10" name="MSIP_Label_bf6fef03-d487-4433-8e43-6b81c0a1b7be_Name">
    <vt:lpwstr>Unclassified</vt:lpwstr>
  </property>
  <property fmtid="{D5CDD505-2E9C-101B-9397-08002B2CF9AE}" pid="11" name="MSIP_Label_bf6fef03-d487-4433-8e43-6b81c0a1b7be_SiteId">
    <vt:lpwstr>1daf5147-a543-4707-a2fb-2acf0b2a3936</vt:lpwstr>
  </property>
  <property fmtid="{D5CDD505-2E9C-101B-9397-08002B2CF9AE}" pid="12" name="MSIP_Label_bf6fef03-d487-4433-8e43-6b81c0a1b7be_ActionId">
    <vt:lpwstr>23904e5a-7260-4697-ae02-05e2792583c1</vt:lpwstr>
  </property>
  <property fmtid="{D5CDD505-2E9C-101B-9397-08002B2CF9AE}" pid="13" name="MSIP_Label_bf6fef03-d487-4433-8e43-6b81c0a1b7be_ContentBits">
    <vt:lpwstr>0</vt:lpwstr>
  </property>
</Properties>
</file>